
<file path=[Content_Types].xml><?xml version="1.0" encoding="utf-8"?>
<Types xmlns="http://schemas.openxmlformats.org/package/2006/content-types">
  <Default Extension="bin" ContentType="application/vnd.openxmlformats-officedocument.oleObject"/>
  <Default Extension="jpeg" ContentType="image/jpeg"/>
  <Default Extension="JPG" ContentType="image/.jpg"/>
  <Default Extension="png" ContentType="image/png"/>
  <Default Extension="emf" ContentType="image/x-e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CEBB9EA">
      <w:pPr>
        <w:pStyle w:val="14"/>
        <w:ind w:left="420"/>
        <w:jc w:val="center"/>
        <w:rPr>
          <w:rFonts w:hAnsi="宋体" w:cs="宋体"/>
          <w:caps/>
        </w:rPr>
      </w:pPr>
    </w:p>
    <w:p w14:paraId="5DD57503">
      <w:pPr>
        <w:pStyle w:val="14"/>
        <w:ind w:left="420"/>
        <w:jc w:val="center"/>
        <w:rPr>
          <w:rFonts w:hAnsi="宋体" w:cs="宋体"/>
          <w:caps/>
        </w:rPr>
      </w:pPr>
    </w:p>
    <w:p w14:paraId="0CBE94B4">
      <w:pPr>
        <w:pStyle w:val="14"/>
        <w:ind w:left="420"/>
        <w:jc w:val="center"/>
        <w:rPr>
          <w:rFonts w:hAnsi="宋体" w:cs="宋体"/>
          <w:caps/>
        </w:rPr>
      </w:pPr>
    </w:p>
    <w:p w14:paraId="4C80E970">
      <w:pPr>
        <w:pStyle w:val="14"/>
        <w:ind w:left="420"/>
        <w:jc w:val="center"/>
        <w:rPr>
          <w:rFonts w:hAnsi="宋体" w:cs="宋体"/>
          <w:caps/>
        </w:rPr>
      </w:pPr>
    </w:p>
    <w:p w14:paraId="4DC4C751">
      <w:pPr>
        <w:pStyle w:val="14"/>
        <w:ind w:left="420"/>
        <w:jc w:val="center"/>
        <w:rPr>
          <w:rFonts w:hAnsi="宋体" w:cs="宋体"/>
          <w:caps/>
          <w:sz w:val="21"/>
          <w:szCs w:val="21"/>
          <w:lang w:val="en-US"/>
        </w:rPr>
      </w:pPr>
      <w:r>
        <w:rPr>
          <w:rFonts w:hint="eastAsia" w:hAnsi="宋体" w:cs="宋体"/>
          <w:caps/>
        </w:rPr>
        <w:t>需求说明书</w:t>
      </w:r>
      <w:r>
        <w:rPr>
          <w:rFonts w:hint="eastAsia" w:hAnsi="宋体" w:cs="宋体"/>
          <w:b w:val="0"/>
          <w:bCs w:val="0"/>
          <w:caps/>
          <w:sz w:val="21"/>
          <w:lang w:val="en-US"/>
        </w:rPr>
        <w:fldChar w:fldCharType="begin"/>
      </w:r>
      <w:r>
        <w:rPr>
          <w:rFonts w:hint="eastAsia" w:hAnsi="宋体" w:cs="宋体"/>
          <w:b w:val="0"/>
          <w:bCs w:val="0"/>
          <w:caps/>
          <w:sz w:val="21"/>
          <w:lang w:val="en-US"/>
        </w:rPr>
        <w:instrText xml:space="preserve"> TITLE  \* MERGEFORMAT </w:instrText>
      </w:r>
      <w:r>
        <w:rPr>
          <w:rFonts w:hint="eastAsia" w:hAnsi="宋体" w:cs="宋体"/>
          <w:b w:val="0"/>
          <w:bCs w:val="0"/>
          <w:caps/>
          <w:sz w:val="21"/>
          <w:lang w:val="en-US"/>
        </w:rPr>
        <w:fldChar w:fldCharType="end"/>
      </w:r>
    </w:p>
    <w:p w14:paraId="048CAF08">
      <w:pPr>
        <w:rPr>
          <w:rFonts w:ascii="宋体" w:hAnsi="宋体" w:cs="宋体"/>
        </w:rPr>
      </w:pPr>
      <w:bookmarkStart w:id="0" w:name="_Toc208994575"/>
      <w:bookmarkStart w:id="1" w:name="_Toc312161398"/>
    </w:p>
    <w:p w14:paraId="44A9EA52">
      <w:pPr>
        <w:pStyle w:val="5"/>
        <w:spacing w:line="240" w:lineRule="auto"/>
        <w:rPr>
          <w:rFonts w:ascii="宋体" w:hAnsi="宋体" w:cs="宋体"/>
        </w:rPr>
      </w:pPr>
      <w:r>
        <w:rPr>
          <w:rFonts w:hint="eastAsia" w:ascii="宋体" w:hAnsi="宋体" w:cs="宋体"/>
        </w:rPr>
        <w:t>修订历史</w:t>
      </w:r>
    </w:p>
    <w:tbl>
      <w:tblPr>
        <w:tblStyle w:val="11"/>
        <w:tblW w:w="8522"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997"/>
        <w:gridCol w:w="1474"/>
        <w:gridCol w:w="1033"/>
        <w:gridCol w:w="5018"/>
      </w:tblGrid>
      <w:tr w14:paraId="18C70F0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tblHeader/>
          <w:jc w:val="center"/>
        </w:trPr>
        <w:tc>
          <w:tcPr>
            <w:tcW w:w="997" w:type="dxa"/>
            <w:tcBorders>
              <w:top w:val="single" w:color="auto" w:sz="12" w:space="0"/>
              <w:left w:val="single" w:color="auto" w:sz="12" w:space="0"/>
              <w:bottom w:val="single" w:color="auto" w:sz="6" w:space="0"/>
              <w:right w:val="single" w:color="auto" w:sz="6" w:space="0"/>
            </w:tcBorders>
            <w:shd w:val="pct10" w:color="auto" w:fill="auto"/>
          </w:tcPr>
          <w:p w14:paraId="0E2DAFB7">
            <w:pPr>
              <w:jc w:val="center"/>
              <w:rPr>
                <w:rFonts w:ascii="宋体" w:hAnsi="宋体" w:cs="宋体"/>
                <w:b/>
                <w:bCs/>
                <w:sz w:val="20"/>
              </w:rPr>
            </w:pPr>
            <w:r>
              <w:rPr>
                <w:rFonts w:hint="eastAsia" w:ascii="宋体" w:hAnsi="宋体" w:cs="宋体"/>
                <w:b/>
                <w:bCs/>
                <w:sz w:val="20"/>
              </w:rPr>
              <w:t>版本号</w:t>
            </w:r>
          </w:p>
        </w:tc>
        <w:tc>
          <w:tcPr>
            <w:tcW w:w="1474" w:type="dxa"/>
            <w:tcBorders>
              <w:top w:val="single" w:color="auto" w:sz="12" w:space="0"/>
              <w:left w:val="single" w:color="auto" w:sz="6" w:space="0"/>
              <w:bottom w:val="single" w:color="auto" w:sz="6" w:space="0"/>
              <w:right w:val="single" w:color="auto" w:sz="6" w:space="0"/>
            </w:tcBorders>
            <w:shd w:val="pct10" w:color="auto" w:fill="auto"/>
          </w:tcPr>
          <w:p w14:paraId="1DC80BF7">
            <w:pPr>
              <w:jc w:val="center"/>
              <w:rPr>
                <w:rFonts w:ascii="宋体" w:hAnsi="宋体" w:cs="宋体"/>
                <w:b/>
                <w:bCs/>
                <w:sz w:val="20"/>
              </w:rPr>
            </w:pPr>
            <w:r>
              <w:rPr>
                <w:rFonts w:hint="eastAsia" w:ascii="宋体" w:hAnsi="宋体" w:cs="宋体"/>
                <w:b/>
                <w:bCs/>
                <w:sz w:val="20"/>
              </w:rPr>
              <w:t>修订日期</w:t>
            </w:r>
          </w:p>
        </w:tc>
        <w:tc>
          <w:tcPr>
            <w:tcW w:w="1033" w:type="dxa"/>
            <w:tcBorders>
              <w:top w:val="single" w:color="auto" w:sz="12" w:space="0"/>
              <w:left w:val="single" w:color="auto" w:sz="6" w:space="0"/>
              <w:bottom w:val="single" w:color="auto" w:sz="6" w:space="0"/>
              <w:right w:val="single" w:color="auto" w:sz="6" w:space="0"/>
            </w:tcBorders>
            <w:shd w:val="pct10" w:color="auto" w:fill="auto"/>
          </w:tcPr>
          <w:p w14:paraId="6F34DCD7">
            <w:pPr>
              <w:jc w:val="center"/>
              <w:rPr>
                <w:rFonts w:ascii="宋体" w:hAnsi="宋体" w:cs="宋体"/>
                <w:b/>
                <w:bCs/>
                <w:sz w:val="20"/>
              </w:rPr>
            </w:pPr>
            <w:r>
              <w:rPr>
                <w:rFonts w:hint="eastAsia" w:ascii="宋体" w:hAnsi="宋体" w:cs="宋体"/>
                <w:b/>
                <w:bCs/>
                <w:sz w:val="20"/>
              </w:rPr>
              <w:t>修订人</w:t>
            </w:r>
          </w:p>
        </w:tc>
        <w:tc>
          <w:tcPr>
            <w:tcW w:w="5018" w:type="dxa"/>
            <w:tcBorders>
              <w:top w:val="single" w:color="auto" w:sz="12" w:space="0"/>
              <w:left w:val="single" w:color="auto" w:sz="6" w:space="0"/>
              <w:bottom w:val="single" w:color="auto" w:sz="6" w:space="0"/>
              <w:right w:val="single" w:color="auto" w:sz="12" w:space="0"/>
            </w:tcBorders>
            <w:shd w:val="pct10" w:color="auto" w:fill="auto"/>
          </w:tcPr>
          <w:p w14:paraId="6705E737">
            <w:pPr>
              <w:jc w:val="center"/>
              <w:rPr>
                <w:rFonts w:ascii="宋体" w:hAnsi="宋体" w:cs="宋体"/>
                <w:b/>
                <w:bCs/>
                <w:sz w:val="20"/>
              </w:rPr>
            </w:pPr>
            <w:r>
              <w:rPr>
                <w:rFonts w:hint="eastAsia" w:ascii="宋体" w:hAnsi="宋体" w:cs="宋体"/>
                <w:b/>
                <w:bCs/>
                <w:sz w:val="20"/>
              </w:rPr>
              <w:t>修订详情</w:t>
            </w:r>
          </w:p>
        </w:tc>
      </w:tr>
      <w:tr w14:paraId="1FE9408D">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997" w:type="dxa"/>
            <w:tcBorders>
              <w:top w:val="single" w:color="auto" w:sz="6" w:space="0"/>
              <w:left w:val="single" w:color="auto" w:sz="12" w:space="0"/>
              <w:bottom w:val="single" w:color="auto" w:sz="6" w:space="0"/>
              <w:right w:val="single" w:color="auto" w:sz="6" w:space="0"/>
            </w:tcBorders>
            <w:vAlign w:val="center"/>
          </w:tcPr>
          <w:p w14:paraId="29EB1858">
            <w:pPr>
              <w:jc w:val="center"/>
              <w:rPr>
                <w:rFonts w:ascii="宋体" w:hAnsi="宋体" w:cs="宋体"/>
                <w:sz w:val="20"/>
              </w:rPr>
            </w:pPr>
            <w:r>
              <w:rPr>
                <w:rFonts w:hint="eastAsia" w:ascii="宋体" w:hAnsi="宋体" w:cs="宋体"/>
                <w:sz w:val="20"/>
              </w:rPr>
              <w:t>1.0</w:t>
            </w:r>
          </w:p>
        </w:tc>
        <w:tc>
          <w:tcPr>
            <w:tcW w:w="1474" w:type="dxa"/>
            <w:tcBorders>
              <w:top w:val="single" w:color="auto" w:sz="6" w:space="0"/>
              <w:left w:val="single" w:color="auto" w:sz="6" w:space="0"/>
              <w:bottom w:val="single" w:color="auto" w:sz="6" w:space="0"/>
              <w:right w:val="single" w:color="auto" w:sz="6" w:space="0"/>
            </w:tcBorders>
            <w:vAlign w:val="center"/>
          </w:tcPr>
          <w:p w14:paraId="227CCD14">
            <w:pPr>
              <w:jc w:val="center"/>
              <w:rPr>
                <w:rFonts w:hint="default" w:ascii="宋体" w:hAnsi="宋体" w:eastAsia="宋体" w:cs="宋体"/>
                <w:sz w:val="20"/>
                <w:lang w:val="en-US" w:eastAsia="zh-CN"/>
              </w:rPr>
            </w:pPr>
            <w:r>
              <w:rPr>
                <w:rFonts w:hint="eastAsia" w:ascii="宋体" w:hAnsi="宋体" w:cs="宋体"/>
                <w:sz w:val="20"/>
                <w:lang w:val="en-US" w:eastAsia="zh-CN"/>
              </w:rPr>
              <w:t>20250903</w:t>
            </w:r>
          </w:p>
        </w:tc>
        <w:tc>
          <w:tcPr>
            <w:tcW w:w="1033" w:type="dxa"/>
            <w:tcBorders>
              <w:top w:val="single" w:color="auto" w:sz="6" w:space="0"/>
              <w:left w:val="single" w:color="auto" w:sz="6" w:space="0"/>
              <w:bottom w:val="single" w:color="auto" w:sz="6" w:space="0"/>
              <w:right w:val="single" w:color="auto" w:sz="6" w:space="0"/>
            </w:tcBorders>
            <w:vAlign w:val="center"/>
          </w:tcPr>
          <w:p w14:paraId="14C2D974">
            <w:pPr>
              <w:jc w:val="center"/>
              <w:rPr>
                <w:rFonts w:hint="eastAsia" w:ascii="宋体" w:hAnsi="宋体" w:eastAsia="宋体" w:cs="宋体"/>
                <w:sz w:val="20"/>
                <w:lang w:val="en-US" w:eastAsia="zh-CN"/>
              </w:rPr>
            </w:pPr>
            <w:r>
              <w:rPr>
                <w:rFonts w:hint="eastAsia" w:ascii="宋体" w:hAnsi="宋体" w:cs="宋体"/>
                <w:sz w:val="20"/>
                <w:lang w:val="en-US" w:eastAsia="zh-CN"/>
              </w:rPr>
              <w:t>高一鑫</w:t>
            </w:r>
          </w:p>
        </w:tc>
        <w:tc>
          <w:tcPr>
            <w:tcW w:w="5018" w:type="dxa"/>
            <w:tcBorders>
              <w:top w:val="single" w:color="auto" w:sz="6" w:space="0"/>
              <w:left w:val="single" w:color="auto" w:sz="6" w:space="0"/>
              <w:bottom w:val="single" w:color="auto" w:sz="6" w:space="0"/>
              <w:right w:val="single" w:color="auto" w:sz="12" w:space="0"/>
            </w:tcBorders>
            <w:vAlign w:val="center"/>
          </w:tcPr>
          <w:p w14:paraId="2473603D">
            <w:pPr>
              <w:pStyle w:val="5"/>
              <w:spacing w:line="240" w:lineRule="atLeast"/>
              <w:jc w:val="center"/>
              <w:rPr>
                <w:rFonts w:ascii="宋体" w:hAnsi="宋体" w:cs="宋体"/>
                <w:b w:val="0"/>
                <w:sz w:val="20"/>
                <w:lang w:eastAsia="zh-CN"/>
              </w:rPr>
            </w:pPr>
            <w:r>
              <w:rPr>
                <w:rFonts w:hint="eastAsia" w:ascii="宋体" w:hAnsi="宋体" w:cs="宋体"/>
                <w:b w:val="0"/>
                <w:sz w:val="20"/>
                <w:lang w:eastAsia="zh-CN"/>
              </w:rPr>
              <w:t>创建</w:t>
            </w:r>
          </w:p>
        </w:tc>
      </w:tr>
      <w:tr w14:paraId="7075F438">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997" w:type="dxa"/>
            <w:tcBorders>
              <w:top w:val="single" w:color="auto" w:sz="6" w:space="0"/>
              <w:left w:val="single" w:color="auto" w:sz="12" w:space="0"/>
              <w:bottom w:val="single" w:color="auto" w:sz="6" w:space="0"/>
              <w:right w:val="single" w:color="auto" w:sz="6" w:space="0"/>
            </w:tcBorders>
            <w:shd w:val="clear" w:color="auto" w:fill="auto"/>
            <w:vAlign w:val="center"/>
          </w:tcPr>
          <w:p w14:paraId="6056C9D0">
            <w:pPr>
              <w:jc w:val="center"/>
              <w:rPr>
                <w:rFonts w:hint="eastAsia" w:ascii="宋体" w:hAnsi="宋体" w:eastAsia="宋体" w:cs="宋体"/>
                <w:kern w:val="2"/>
                <w:sz w:val="20"/>
                <w:szCs w:val="24"/>
                <w:lang w:val="en-US" w:eastAsia="zh-CN" w:bidi="ar-SA"/>
              </w:rPr>
            </w:pPr>
            <w:r>
              <w:rPr>
                <w:rFonts w:hint="eastAsia" w:ascii="宋体" w:hAnsi="宋体" w:cs="宋体"/>
                <w:sz w:val="20"/>
              </w:rPr>
              <w:t>1.</w:t>
            </w:r>
            <w:r>
              <w:rPr>
                <w:rFonts w:hint="eastAsia" w:ascii="宋体" w:hAnsi="宋体" w:cs="宋体"/>
                <w:sz w:val="20"/>
                <w:lang w:val="en-US" w:eastAsia="zh-CN"/>
              </w:rPr>
              <w:t>1</w:t>
            </w:r>
          </w:p>
        </w:tc>
        <w:tc>
          <w:tcPr>
            <w:tcW w:w="1474" w:type="dxa"/>
            <w:tcBorders>
              <w:top w:val="single" w:color="auto" w:sz="6" w:space="0"/>
              <w:left w:val="single" w:color="auto" w:sz="6" w:space="0"/>
              <w:bottom w:val="single" w:color="auto" w:sz="6" w:space="0"/>
              <w:right w:val="single" w:color="auto" w:sz="6" w:space="0"/>
            </w:tcBorders>
            <w:shd w:val="clear" w:color="auto" w:fill="auto"/>
            <w:vAlign w:val="center"/>
          </w:tcPr>
          <w:p w14:paraId="0A0E754E">
            <w:pPr>
              <w:jc w:val="center"/>
              <w:rPr>
                <w:rFonts w:hint="default" w:ascii="宋体" w:hAnsi="宋体" w:eastAsia="宋体" w:cs="宋体"/>
                <w:kern w:val="2"/>
                <w:sz w:val="20"/>
                <w:szCs w:val="24"/>
                <w:lang w:val="en-US" w:eastAsia="zh-CN" w:bidi="ar-SA"/>
              </w:rPr>
            </w:pPr>
            <w:r>
              <w:rPr>
                <w:rFonts w:hint="eastAsia" w:ascii="宋体" w:hAnsi="宋体" w:cs="宋体"/>
                <w:sz w:val="20"/>
                <w:lang w:val="en-US" w:eastAsia="zh-CN"/>
              </w:rPr>
              <w:t>20250923</w:t>
            </w:r>
          </w:p>
        </w:tc>
        <w:tc>
          <w:tcPr>
            <w:tcW w:w="1033" w:type="dxa"/>
            <w:tcBorders>
              <w:top w:val="single" w:color="auto" w:sz="6" w:space="0"/>
              <w:left w:val="single" w:color="auto" w:sz="6" w:space="0"/>
              <w:bottom w:val="single" w:color="auto" w:sz="6" w:space="0"/>
              <w:right w:val="single" w:color="auto" w:sz="6" w:space="0"/>
            </w:tcBorders>
            <w:shd w:val="clear" w:color="auto" w:fill="auto"/>
            <w:vAlign w:val="center"/>
          </w:tcPr>
          <w:p w14:paraId="3B6E900B">
            <w:pPr>
              <w:jc w:val="center"/>
              <w:rPr>
                <w:rFonts w:hint="eastAsia" w:ascii="宋体" w:hAnsi="宋体" w:eastAsia="宋体" w:cs="宋体"/>
                <w:kern w:val="2"/>
                <w:sz w:val="20"/>
                <w:szCs w:val="24"/>
                <w:lang w:val="en-US" w:eastAsia="zh-CN" w:bidi="ar-SA"/>
              </w:rPr>
            </w:pPr>
            <w:r>
              <w:rPr>
                <w:rFonts w:hint="eastAsia" w:ascii="宋体" w:hAnsi="宋体" w:cs="宋体"/>
                <w:sz w:val="20"/>
                <w:lang w:val="en-US" w:eastAsia="zh-CN"/>
              </w:rPr>
              <w:t>高一鑫</w:t>
            </w:r>
          </w:p>
        </w:tc>
        <w:tc>
          <w:tcPr>
            <w:tcW w:w="5018" w:type="dxa"/>
            <w:tcBorders>
              <w:top w:val="single" w:color="auto" w:sz="6" w:space="0"/>
              <w:left w:val="single" w:color="auto" w:sz="6" w:space="0"/>
              <w:bottom w:val="single" w:color="auto" w:sz="6" w:space="0"/>
              <w:right w:val="single" w:color="auto" w:sz="12" w:space="0"/>
            </w:tcBorders>
            <w:shd w:val="clear" w:color="auto" w:fill="auto"/>
            <w:vAlign w:val="center"/>
          </w:tcPr>
          <w:p w14:paraId="01090885">
            <w:pPr>
              <w:pStyle w:val="5"/>
              <w:spacing w:line="240" w:lineRule="atLeast"/>
              <w:jc w:val="center"/>
              <w:rPr>
                <w:rFonts w:hint="eastAsia" w:ascii="宋体" w:hAnsi="宋体" w:cs="宋体"/>
                <w:b w:val="0"/>
                <w:kern w:val="0"/>
                <w:sz w:val="20"/>
                <w:szCs w:val="20"/>
                <w:lang w:val="en-US" w:eastAsia="zh-CN" w:bidi="ar-SA"/>
              </w:rPr>
            </w:pPr>
            <w:r>
              <w:rPr>
                <w:rFonts w:hint="eastAsia" w:ascii="宋体" w:hAnsi="宋体" w:cs="宋体"/>
                <w:b w:val="0"/>
                <w:kern w:val="0"/>
                <w:sz w:val="20"/>
                <w:szCs w:val="20"/>
                <w:lang w:val="en-US" w:eastAsia="zh-CN" w:bidi="ar-SA"/>
              </w:rPr>
              <w:t>根据业务需求确认意见：</w:t>
            </w:r>
          </w:p>
          <w:p w14:paraId="7D82BA4F">
            <w:pPr>
              <w:pStyle w:val="5"/>
              <w:spacing w:line="240" w:lineRule="atLeast"/>
              <w:jc w:val="center"/>
              <w:rPr>
                <w:rFonts w:hint="eastAsia" w:ascii="宋体" w:hAnsi="宋体" w:cs="宋体"/>
                <w:b w:val="0"/>
                <w:kern w:val="0"/>
                <w:sz w:val="20"/>
                <w:szCs w:val="20"/>
                <w:lang w:val="en-US" w:eastAsia="zh-CN" w:bidi="ar-SA"/>
              </w:rPr>
            </w:pPr>
            <w:r>
              <w:rPr>
                <w:rFonts w:hint="eastAsia" w:ascii="宋体" w:hAnsi="宋体" w:cs="宋体"/>
                <w:b w:val="0"/>
                <w:kern w:val="0"/>
                <w:sz w:val="20"/>
                <w:szCs w:val="20"/>
                <w:lang w:val="en-US" w:eastAsia="zh-CN" w:bidi="ar-SA"/>
              </w:rPr>
              <w:t>补充用例4车理赔短信维护功能调整点</w:t>
            </w:r>
          </w:p>
          <w:p w14:paraId="625F9BDC">
            <w:pPr>
              <w:pStyle w:val="5"/>
              <w:spacing w:line="240" w:lineRule="atLeast"/>
              <w:jc w:val="center"/>
              <w:rPr>
                <w:rFonts w:hint="eastAsia" w:ascii="宋体" w:hAnsi="宋体" w:cs="宋体"/>
                <w:b w:val="0"/>
                <w:kern w:val="0"/>
                <w:sz w:val="20"/>
                <w:szCs w:val="20"/>
                <w:lang w:val="en-US" w:eastAsia="zh-CN" w:bidi="ar-SA"/>
              </w:rPr>
            </w:pPr>
            <w:r>
              <w:rPr>
                <w:rFonts w:hint="eastAsia" w:ascii="宋体" w:hAnsi="宋体" w:cs="宋体"/>
                <w:b w:val="0"/>
                <w:kern w:val="0"/>
                <w:sz w:val="20"/>
                <w:szCs w:val="20"/>
                <w:lang w:val="en-US" w:eastAsia="zh-CN" w:bidi="ar-SA"/>
              </w:rPr>
              <w:t>补充用例5意健险理赔柜面报案获取高敏客户逻辑、邮件发送分公司理赔负责人功能</w:t>
            </w:r>
          </w:p>
          <w:p w14:paraId="29053988">
            <w:pPr>
              <w:pStyle w:val="5"/>
              <w:spacing w:line="240" w:lineRule="atLeast"/>
              <w:jc w:val="center"/>
              <w:rPr>
                <w:rFonts w:hint="default" w:ascii="宋体" w:hAnsi="宋体" w:cs="宋体"/>
                <w:b w:val="0"/>
                <w:kern w:val="0"/>
                <w:sz w:val="20"/>
                <w:szCs w:val="20"/>
                <w:lang w:val="en-US" w:eastAsia="zh-CN" w:bidi="ar-SA"/>
              </w:rPr>
            </w:pPr>
            <w:r>
              <w:rPr>
                <w:rFonts w:hint="eastAsia" w:ascii="宋体" w:hAnsi="宋体" w:cs="宋体"/>
                <w:b w:val="0"/>
                <w:kern w:val="0"/>
                <w:sz w:val="20"/>
                <w:szCs w:val="20"/>
                <w:lang w:val="en-US" w:eastAsia="zh-CN" w:bidi="ar-SA"/>
              </w:rPr>
              <w:t>补充用例7全媒体客服，对于柜面报案案件，接收理赔同步的高敏客户标识</w:t>
            </w:r>
          </w:p>
        </w:tc>
      </w:tr>
      <w:tr w14:paraId="43CE7E81">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997" w:type="dxa"/>
            <w:tcBorders>
              <w:top w:val="single" w:color="auto" w:sz="6" w:space="0"/>
              <w:left w:val="single" w:color="auto" w:sz="12" w:space="0"/>
              <w:bottom w:val="single" w:color="auto" w:sz="6" w:space="0"/>
              <w:right w:val="single" w:color="auto" w:sz="6" w:space="0"/>
            </w:tcBorders>
            <w:shd w:val="clear" w:color="auto" w:fill="auto"/>
            <w:vAlign w:val="center"/>
          </w:tcPr>
          <w:p w14:paraId="2BF2EFB4">
            <w:pPr>
              <w:jc w:val="center"/>
              <w:rPr>
                <w:rFonts w:hint="eastAsia" w:ascii="宋体" w:hAnsi="宋体" w:eastAsia="宋体" w:cs="宋体"/>
                <w:kern w:val="2"/>
                <w:sz w:val="20"/>
                <w:szCs w:val="24"/>
                <w:lang w:val="en-US" w:eastAsia="zh-CN" w:bidi="ar-SA"/>
              </w:rPr>
            </w:pPr>
            <w:r>
              <w:rPr>
                <w:rFonts w:hint="eastAsia" w:ascii="宋体" w:hAnsi="宋体" w:cs="宋体"/>
                <w:sz w:val="20"/>
              </w:rPr>
              <w:t>1.</w:t>
            </w:r>
            <w:r>
              <w:rPr>
                <w:rFonts w:hint="eastAsia" w:ascii="宋体" w:hAnsi="宋体" w:cs="宋体"/>
                <w:sz w:val="20"/>
                <w:lang w:val="en-US" w:eastAsia="zh-CN"/>
              </w:rPr>
              <w:t>2</w:t>
            </w:r>
          </w:p>
        </w:tc>
        <w:tc>
          <w:tcPr>
            <w:tcW w:w="1474" w:type="dxa"/>
            <w:tcBorders>
              <w:top w:val="single" w:color="auto" w:sz="6" w:space="0"/>
              <w:left w:val="single" w:color="auto" w:sz="6" w:space="0"/>
              <w:bottom w:val="single" w:color="auto" w:sz="6" w:space="0"/>
              <w:right w:val="single" w:color="auto" w:sz="6" w:space="0"/>
            </w:tcBorders>
            <w:shd w:val="clear" w:color="auto" w:fill="auto"/>
            <w:vAlign w:val="center"/>
          </w:tcPr>
          <w:p w14:paraId="6FE6BE1F">
            <w:pPr>
              <w:jc w:val="center"/>
              <w:rPr>
                <w:rFonts w:hint="default" w:ascii="宋体" w:hAnsi="宋体" w:eastAsia="宋体" w:cs="宋体"/>
                <w:kern w:val="2"/>
                <w:sz w:val="20"/>
                <w:szCs w:val="24"/>
                <w:lang w:val="en-US" w:eastAsia="zh-CN" w:bidi="ar-SA"/>
              </w:rPr>
            </w:pPr>
            <w:r>
              <w:rPr>
                <w:rFonts w:hint="eastAsia" w:ascii="宋体" w:hAnsi="宋体" w:cs="宋体"/>
                <w:sz w:val="20"/>
                <w:lang w:val="en-US" w:eastAsia="zh-CN"/>
              </w:rPr>
              <w:t>20250930</w:t>
            </w:r>
          </w:p>
        </w:tc>
        <w:tc>
          <w:tcPr>
            <w:tcW w:w="1033" w:type="dxa"/>
            <w:tcBorders>
              <w:top w:val="single" w:color="auto" w:sz="6" w:space="0"/>
              <w:left w:val="single" w:color="auto" w:sz="6" w:space="0"/>
              <w:bottom w:val="single" w:color="auto" w:sz="6" w:space="0"/>
              <w:right w:val="single" w:color="auto" w:sz="6" w:space="0"/>
            </w:tcBorders>
            <w:vAlign w:val="center"/>
          </w:tcPr>
          <w:p w14:paraId="0E25B1E9">
            <w:pPr>
              <w:jc w:val="center"/>
              <w:rPr>
                <w:rFonts w:hint="default" w:ascii="宋体" w:hAnsi="宋体" w:eastAsia="宋体" w:cs="宋体"/>
                <w:sz w:val="20"/>
                <w:lang w:val="en-US" w:eastAsia="zh-CN"/>
              </w:rPr>
            </w:pPr>
            <w:r>
              <w:rPr>
                <w:rFonts w:hint="eastAsia" w:ascii="宋体" w:hAnsi="宋体" w:cs="宋体"/>
                <w:sz w:val="20"/>
                <w:lang w:val="en-US" w:eastAsia="zh-CN"/>
              </w:rPr>
              <w:t>高一鑫</w:t>
            </w:r>
          </w:p>
        </w:tc>
        <w:tc>
          <w:tcPr>
            <w:tcW w:w="5018" w:type="dxa"/>
            <w:tcBorders>
              <w:top w:val="single" w:color="auto" w:sz="6" w:space="0"/>
              <w:left w:val="single" w:color="auto" w:sz="6" w:space="0"/>
              <w:bottom w:val="single" w:color="auto" w:sz="6" w:space="0"/>
              <w:right w:val="single" w:color="auto" w:sz="12" w:space="0"/>
            </w:tcBorders>
            <w:vAlign w:val="center"/>
          </w:tcPr>
          <w:p w14:paraId="4B7D20C9">
            <w:pPr>
              <w:pStyle w:val="5"/>
              <w:spacing w:line="240" w:lineRule="atLeast"/>
              <w:jc w:val="center"/>
              <w:rPr>
                <w:rFonts w:hint="eastAsia" w:ascii="宋体" w:hAnsi="宋体" w:cs="宋体"/>
                <w:b w:val="0"/>
                <w:sz w:val="20"/>
                <w:highlight w:val="none"/>
                <w:lang w:val="en-US" w:eastAsia="zh-CN"/>
              </w:rPr>
            </w:pPr>
            <w:r>
              <w:rPr>
                <w:rFonts w:hint="eastAsia" w:ascii="宋体" w:hAnsi="宋体" w:cs="宋体"/>
                <w:b w:val="0"/>
                <w:sz w:val="20"/>
                <w:highlight w:val="none"/>
                <w:lang w:val="en-US" w:eastAsia="zh-CN"/>
              </w:rPr>
              <w:t>补充用例4车理赔，由车理赔完成报案的案件（车理赔5G快赔流程），需要车理赔查询案件是否高敏客户，并将随报案信息将是否高敏客户同步CC</w:t>
            </w:r>
          </w:p>
          <w:p w14:paraId="12EE123E">
            <w:pPr>
              <w:pStyle w:val="5"/>
              <w:spacing w:line="240" w:lineRule="atLeast"/>
              <w:jc w:val="center"/>
              <w:rPr>
                <w:rFonts w:hint="eastAsia" w:ascii="宋体" w:hAnsi="宋体" w:cs="宋体"/>
                <w:b w:val="0"/>
                <w:sz w:val="20"/>
                <w:highlight w:val="none"/>
                <w:lang w:val="en-US" w:eastAsia="zh-CN"/>
              </w:rPr>
            </w:pPr>
            <w:r>
              <w:rPr>
                <w:rFonts w:hint="eastAsia" w:ascii="宋体" w:hAnsi="宋体" w:cs="宋体"/>
                <w:b w:val="0"/>
                <w:sz w:val="20"/>
                <w:highlight w:val="none"/>
                <w:lang w:val="en-US" w:eastAsia="zh-CN"/>
              </w:rPr>
              <w:t>补充用例7CC接收车理赔报案同步的是否高敏客户结果</w:t>
            </w:r>
          </w:p>
          <w:p w14:paraId="1BEC75D7">
            <w:pPr>
              <w:pStyle w:val="5"/>
              <w:spacing w:line="240" w:lineRule="atLeast"/>
              <w:jc w:val="center"/>
              <w:rPr>
                <w:rFonts w:hint="default" w:ascii="宋体" w:hAnsi="宋体" w:cs="宋体"/>
                <w:b w:val="0"/>
                <w:sz w:val="20"/>
                <w:highlight w:val="none"/>
                <w:lang w:val="en-US" w:eastAsia="zh-CN"/>
              </w:rPr>
            </w:pPr>
            <w:r>
              <w:rPr>
                <w:rFonts w:hint="eastAsia" w:ascii="宋体" w:hAnsi="宋体" w:cs="宋体"/>
                <w:b w:val="0"/>
                <w:sz w:val="20"/>
                <w:highlight w:val="none"/>
                <w:lang w:val="en-US" w:eastAsia="zh-CN"/>
              </w:rPr>
              <w:t>补充用例6，添加财理赔需求文档</w:t>
            </w:r>
            <w:bookmarkStart w:id="50" w:name="_GoBack"/>
            <w:bookmarkEnd w:id="50"/>
          </w:p>
        </w:tc>
      </w:tr>
    </w:tbl>
    <w:p w14:paraId="0FA37177">
      <w:pPr>
        <w:rPr>
          <w:rFonts w:ascii="宋体" w:hAnsi="宋体" w:cs="宋体"/>
        </w:rPr>
      </w:pPr>
    </w:p>
    <w:p w14:paraId="104F12F7">
      <w:pPr>
        <w:rPr>
          <w:rFonts w:ascii="宋体" w:hAnsi="宋体" w:cs="宋体"/>
        </w:rPr>
      </w:pPr>
    </w:p>
    <w:p w14:paraId="2CA672FE">
      <w:pPr>
        <w:spacing w:line="240" w:lineRule="auto"/>
        <w:rPr>
          <w:rFonts w:ascii="宋体" w:hAnsi="宋体" w:cs="宋体"/>
        </w:rPr>
      </w:pPr>
    </w:p>
    <w:p w14:paraId="408F8475">
      <w:pPr>
        <w:rPr>
          <w:rFonts w:ascii="宋体" w:hAnsi="宋体" w:cs="宋体"/>
        </w:rPr>
      </w:pPr>
    </w:p>
    <w:p w14:paraId="34DCF2B7">
      <w:pPr>
        <w:rPr>
          <w:rFonts w:ascii="宋体" w:hAnsi="宋体" w:cs="宋体"/>
        </w:rPr>
      </w:pPr>
    </w:p>
    <w:p w14:paraId="62BB3B59">
      <w:pPr>
        <w:rPr>
          <w:rFonts w:ascii="宋体" w:hAnsi="宋体" w:cs="宋体"/>
        </w:rPr>
      </w:pPr>
    </w:p>
    <w:p w14:paraId="603E6C11">
      <w:pPr>
        <w:rPr>
          <w:rFonts w:ascii="宋体" w:hAnsi="宋体" w:cs="宋体"/>
        </w:rPr>
      </w:pPr>
    </w:p>
    <w:p w14:paraId="37695F4E">
      <w:pPr>
        <w:rPr>
          <w:rFonts w:ascii="宋体" w:hAnsi="宋体" w:cs="宋体"/>
        </w:rPr>
      </w:pPr>
    </w:p>
    <w:p w14:paraId="577727CA">
      <w:pPr>
        <w:rPr>
          <w:rFonts w:ascii="宋体" w:hAnsi="宋体" w:cs="宋体"/>
        </w:rPr>
      </w:pPr>
    </w:p>
    <w:p w14:paraId="2AF163CD">
      <w:pPr>
        <w:rPr>
          <w:rFonts w:ascii="宋体" w:hAnsi="宋体" w:cs="宋体"/>
        </w:rPr>
      </w:pPr>
    </w:p>
    <w:p w14:paraId="30F6C64C">
      <w:pPr>
        <w:rPr>
          <w:rFonts w:ascii="宋体" w:hAnsi="宋体" w:cs="宋体"/>
        </w:rPr>
      </w:pPr>
    </w:p>
    <w:p w14:paraId="2EEC56D6">
      <w:pPr>
        <w:rPr>
          <w:rFonts w:ascii="宋体" w:hAnsi="宋体" w:cs="宋体"/>
        </w:rPr>
      </w:pPr>
    </w:p>
    <w:p w14:paraId="5BBA4BDA">
      <w:pPr>
        <w:rPr>
          <w:rFonts w:ascii="宋体" w:hAnsi="宋体" w:cs="宋体"/>
        </w:rPr>
      </w:pPr>
    </w:p>
    <w:p w14:paraId="5CAF1D1D">
      <w:pPr>
        <w:rPr>
          <w:rFonts w:ascii="宋体" w:hAnsi="宋体" w:cs="宋体"/>
        </w:rPr>
      </w:pPr>
    </w:p>
    <w:p w14:paraId="1ECA46A3">
      <w:pPr>
        <w:rPr>
          <w:rFonts w:ascii="宋体" w:hAnsi="宋体" w:cs="宋体"/>
        </w:rPr>
      </w:pPr>
    </w:p>
    <w:p w14:paraId="137F4B38">
      <w:pPr>
        <w:rPr>
          <w:rFonts w:ascii="宋体" w:hAnsi="宋体" w:cs="宋体"/>
        </w:rPr>
      </w:pPr>
    </w:p>
    <w:bookmarkEnd w:id="0"/>
    <w:bookmarkEnd w:id="1"/>
    <w:p w14:paraId="3BB95302">
      <w:pPr>
        <w:rPr>
          <w:rFonts w:ascii="宋体" w:hAnsi="宋体" w:cs="宋体"/>
          <w:b/>
          <w:sz w:val="30"/>
          <w:szCs w:val="30"/>
        </w:rPr>
        <w:sectPr>
          <w:headerReference r:id="rId4" w:type="first"/>
          <w:footerReference r:id="rId6" w:type="first"/>
          <w:headerReference r:id="rId3" w:type="default"/>
          <w:footerReference r:id="rId5" w:type="default"/>
          <w:pgSz w:w="11906" w:h="16838"/>
          <w:pgMar w:top="1440" w:right="1800" w:bottom="1440" w:left="1800" w:header="851" w:footer="992" w:gutter="0"/>
          <w:cols w:space="425" w:num="1"/>
          <w:docGrid w:type="lines" w:linePitch="312" w:charSpace="0"/>
        </w:sectPr>
      </w:pPr>
    </w:p>
    <w:p w14:paraId="3495762B">
      <w:pPr>
        <w:jc w:val="center"/>
        <w:rPr>
          <w:rFonts w:ascii="宋体" w:hAnsi="宋体" w:cs="宋体"/>
          <w:b/>
          <w:sz w:val="30"/>
          <w:szCs w:val="30"/>
        </w:rPr>
      </w:pPr>
      <w:r>
        <w:rPr>
          <w:rFonts w:hint="eastAsia" w:ascii="宋体" w:hAnsi="宋体" w:cs="宋体"/>
          <w:b/>
          <w:sz w:val="30"/>
          <w:szCs w:val="30"/>
        </w:rPr>
        <w:t>目录</w:t>
      </w:r>
    </w:p>
    <w:p w14:paraId="474469DB">
      <w:pPr>
        <w:pStyle w:val="9"/>
        <w:tabs>
          <w:tab w:val="right" w:leader="dot" w:pos="8306"/>
        </w:tabs>
      </w:pPr>
      <w:r>
        <w:rPr>
          <w:rFonts w:hint="eastAsia" w:ascii="宋体" w:hAnsi="宋体" w:cs="宋体"/>
        </w:rPr>
        <w:fldChar w:fldCharType="begin"/>
      </w:r>
      <w:r>
        <w:rPr>
          <w:rFonts w:hint="eastAsia" w:ascii="宋体" w:hAnsi="宋体" w:cs="宋体"/>
        </w:rPr>
        <w:instrText xml:space="preserve"> TOC \o "1-3" \h \z \u </w:instrText>
      </w:r>
      <w:r>
        <w:rPr>
          <w:rFonts w:hint="eastAsia" w:ascii="宋体" w:hAnsi="宋体" w:cs="宋体"/>
        </w:rPr>
        <w:fldChar w:fldCharType="separate"/>
      </w:r>
      <w:r>
        <w:rPr>
          <w:rFonts w:hint="eastAsia" w:ascii="宋体" w:hAnsi="宋体" w:cs="宋体"/>
        </w:rPr>
        <w:fldChar w:fldCharType="begin"/>
      </w:r>
      <w:r>
        <w:rPr>
          <w:rFonts w:hint="eastAsia" w:ascii="宋体" w:hAnsi="宋体" w:cs="宋体"/>
        </w:rPr>
        <w:instrText xml:space="preserve"> HYPERLINK \l _Toc1619 </w:instrText>
      </w:r>
      <w:r>
        <w:rPr>
          <w:rFonts w:hint="eastAsia" w:ascii="宋体" w:hAnsi="宋体" w:cs="宋体"/>
        </w:rPr>
        <w:fldChar w:fldCharType="separate"/>
      </w:r>
      <w:r>
        <w:rPr>
          <w:rFonts w:hint="default" w:ascii="Arial" w:hAnsi="Arial" w:cs="Arial"/>
        </w:rPr>
        <w:t xml:space="preserve">1. </w:t>
      </w:r>
      <w:r>
        <w:rPr>
          <w:rFonts w:hint="eastAsia" w:ascii="宋体" w:hAnsi="宋体" w:eastAsia="宋体" w:cs="宋体"/>
        </w:rPr>
        <w:t>用户</w:t>
      </w:r>
      <w:r>
        <w:tab/>
      </w:r>
      <w:r>
        <w:fldChar w:fldCharType="begin"/>
      </w:r>
      <w:r>
        <w:instrText xml:space="preserve"> PAGEREF _Toc1619 \h </w:instrText>
      </w:r>
      <w:r>
        <w:fldChar w:fldCharType="separate"/>
      </w:r>
      <w:r>
        <w:t>4</w:t>
      </w:r>
      <w:r>
        <w:fldChar w:fldCharType="end"/>
      </w:r>
      <w:r>
        <w:rPr>
          <w:rFonts w:hint="eastAsia" w:ascii="宋体" w:hAnsi="宋体" w:cs="宋体"/>
        </w:rPr>
        <w:fldChar w:fldCharType="end"/>
      </w:r>
    </w:p>
    <w:p w14:paraId="0EE39B6C">
      <w:pPr>
        <w:pStyle w:val="9"/>
        <w:tabs>
          <w:tab w:val="right" w:leader="dot" w:pos="8306"/>
        </w:tabs>
      </w:pPr>
      <w:r>
        <w:rPr>
          <w:rFonts w:hint="eastAsia" w:ascii="宋体" w:hAnsi="宋体" w:cs="宋体"/>
          <w:bCs/>
          <w:lang w:val="zh-CN"/>
        </w:rPr>
        <w:fldChar w:fldCharType="begin"/>
      </w:r>
      <w:r>
        <w:rPr>
          <w:rFonts w:hint="eastAsia" w:ascii="宋体" w:hAnsi="宋体" w:cs="宋体"/>
          <w:bCs/>
          <w:lang w:val="zh-CN"/>
        </w:rPr>
        <w:instrText xml:space="preserve"> HYPERLINK \l _Toc21867 </w:instrText>
      </w:r>
      <w:r>
        <w:rPr>
          <w:rFonts w:hint="eastAsia" w:ascii="宋体" w:hAnsi="宋体" w:cs="宋体"/>
          <w:bCs/>
          <w:lang w:val="zh-CN"/>
        </w:rPr>
        <w:fldChar w:fldCharType="separate"/>
      </w:r>
      <w:r>
        <w:rPr>
          <w:rFonts w:hint="default" w:ascii="Arial" w:hAnsi="Arial" w:eastAsia="宋体" w:cs="Arial"/>
        </w:rPr>
        <w:t xml:space="preserve">2. </w:t>
      </w:r>
      <w:r>
        <w:rPr>
          <w:rFonts w:hint="eastAsia" w:ascii="宋体" w:hAnsi="宋体" w:eastAsia="宋体" w:cs="宋体"/>
        </w:rPr>
        <w:t>需求描述</w:t>
      </w:r>
      <w:r>
        <w:tab/>
      </w:r>
      <w:r>
        <w:fldChar w:fldCharType="begin"/>
      </w:r>
      <w:r>
        <w:instrText xml:space="preserve"> PAGEREF _Toc21867 \h </w:instrText>
      </w:r>
      <w:r>
        <w:fldChar w:fldCharType="separate"/>
      </w:r>
      <w:r>
        <w:t>4</w:t>
      </w:r>
      <w:r>
        <w:fldChar w:fldCharType="end"/>
      </w:r>
      <w:r>
        <w:rPr>
          <w:rFonts w:hint="eastAsia" w:ascii="宋体" w:hAnsi="宋体" w:cs="宋体"/>
          <w:bCs/>
          <w:lang w:val="zh-CN"/>
        </w:rPr>
        <w:fldChar w:fldCharType="end"/>
      </w:r>
    </w:p>
    <w:p w14:paraId="00F56F3D">
      <w:pPr>
        <w:pStyle w:val="10"/>
        <w:tabs>
          <w:tab w:val="right" w:leader="dot" w:pos="8306"/>
        </w:tabs>
      </w:pPr>
      <w:r>
        <w:rPr>
          <w:rFonts w:hint="eastAsia" w:ascii="宋体" w:hAnsi="宋体" w:cs="宋体"/>
          <w:bCs/>
          <w:lang w:val="zh-CN"/>
        </w:rPr>
        <w:fldChar w:fldCharType="begin"/>
      </w:r>
      <w:r>
        <w:rPr>
          <w:rFonts w:hint="eastAsia" w:ascii="宋体" w:hAnsi="宋体" w:cs="宋体"/>
          <w:bCs/>
          <w:lang w:val="zh-CN"/>
        </w:rPr>
        <w:instrText xml:space="preserve"> HYPERLINK \l _Toc30680 </w:instrText>
      </w:r>
      <w:r>
        <w:rPr>
          <w:rFonts w:hint="eastAsia" w:ascii="宋体" w:hAnsi="宋体" w:cs="宋体"/>
          <w:bCs/>
          <w:lang w:val="zh-CN"/>
        </w:rPr>
        <w:fldChar w:fldCharType="separate"/>
      </w:r>
      <w:r>
        <w:rPr>
          <w:rFonts w:hint="default" w:ascii="Arial" w:hAnsi="Arial" w:eastAsia="宋体" w:cs="Arial"/>
        </w:rPr>
        <w:t xml:space="preserve">2.1. </w:t>
      </w:r>
      <w:r>
        <w:rPr>
          <w:rFonts w:hint="eastAsia" w:ascii="宋体" w:hAnsi="宋体" w:eastAsia="宋体" w:cs="宋体"/>
          <w:snapToGrid w:val="0"/>
          <w:kern w:val="0"/>
        </w:rPr>
        <w:t>需求背景</w:t>
      </w:r>
      <w:r>
        <w:tab/>
      </w:r>
      <w:r>
        <w:fldChar w:fldCharType="begin"/>
      </w:r>
      <w:r>
        <w:instrText xml:space="preserve"> PAGEREF _Toc30680 \h </w:instrText>
      </w:r>
      <w:r>
        <w:fldChar w:fldCharType="separate"/>
      </w:r>
      <w:r>
        <w:t>4</w:t>
      </w:r>
      <w:r>
        <w:fldChar w:fldCharType="end"/>
      </w:r>
      <w:r>
        <w:rPr>
          <w:rFonts w:hint="eastAsia" w:ascii="宋体" w:hAnsi="宋体" w:cs="宋体"/>
          <w:bCs/>
          <w:lang w:val="zh-CN"/>
        </w:rPr>
        <w:fldChar w:fldCharType="end"/>
      </w:r>
    </w:p>
    <w:p w14:paraId="3C84C0C9">
      <w:pPr>
        <w:pStyle w:val="10"/>
        <w:tabs>
          <w:tab w:val="right" w:leader="dot" w:pos="8306"/>
        </w:tabs>
      </w:pPr>
      <w:r>
        <w:rPr>
          <w:rFonts w:hint="eastAsia" w:ascii="宋体" w:hAnsi="宋体" w:cs="宋体"/>
          <w:bCs/>
          <w:lang w:val="zh-CN"/>
        </w:rPr>
        <w:fldChar w:fldCharType="begin"/>
      </w:r>
      <w:r>
        <w:rPr>
          <w:rFonts w:hint="eastAsia" w:ascii="宋体" w:hAnsi="宋体" w:cs="宋体"/>
          <w:bCs/>
          <w:lang w:val="zh-CN"/>
        </w:rPr>
        <w:instrText xml:space="preserve"> HYPERLINK \l _Toc670 </w:instrText>
      </w:r>
      <w:r>
        <w:rPr>
          <w:rFonts w:hint="eastAsia" w:ascii="宋体" w:hAnsi="宋体" w:cs="宋体"/>
          <w:bCs/>
          <w:lang w:val="zh-CN"/>
        </w:rPr>
        <w:fldChar w:fldCharType="separate"/>
      </w:r>
      <w:r>
        <w:rPr>
          <w:rFonts w:hint="default" w:ascii="Arial" w:hAnsi="Arial" w:eastAsia="宋体" w:cs="Arial"/>
          <w:snapToGrid w:val="0"/>
          <w:kern w:val="0"/>
        </w:rPr>
        <w:t xml:space="preserve">2.2. </w:t>
      </w:r>
      <w:r>
        <w:rPr>
          <w:rFonts w:hint="eastAsia" w:ascii="宋体" w:hAnsi="宋体" w:eastAsia="宋体" w:cs="宋体"/>
          <w:snapToGrid w:val="0"/>
          <w:kern w:val="0"/>
        </w:rPr>
        <w:t>业务需求</w:t>
      </w:r>
      <w:r>
        <w:tab/>
      </w:r>
      <w:r>
        <w:fldChar w:fldCharType="begin"/>
      </w:r>
      <w:r>
        <w:instrText xml:space="preserve"> PAGEREF _Toc670 \h </w:instrText>
      </w:r>
      <w:r>
        <w:fldChar w:fldCharType="separate"/>
      </w:r>
      <w:r>
        <w:t>4</w:t>
      </w:r>
      <w:r>
        <w:fldChar w:fldCharType="end"/>
      </w:r>
      <w:r>
        <w:rPr>
          <w:rFonts w:hint="eastAsia" w:ascii="宋体" w:hAnsi="宋体" w:cs="宋体"/>
          <w:bCs/>
          <w:lang w:val="zh-CN"/>
        </w:rPr>
        <w:fldChar w:fldCharType="end"/>
      </w:r>
    </w:p>
    <w:p w14:paraId="26918A2F">
      <w:pPr>
        <w:pStyle w:val="6"/>
        <w:tabs>
          <w:tab w:val="right" w:leader="dot" w:pos="8306"/>
        </w:tabs>
      </w:pPr>
      <w:r>
        <w:rPr>
          <w:rFonts w:hint="eastAsia" w:ascii="宋体" w:hAnsi="宋体" w:cs="宋体"/>
          <w:bCs/>
          <w:lang w:val="zh-CN"/>
        </w:rPr>
        <w:fldChar w:fldCharType="begin"/>
      </w:r>
      <w:r>
        <w:rPr>
          <w:rFonts w:hint="eastAsia" w:ascii="宋体" w:hAnsi="宋体" w:cs="宋体"/>
          <w:bCs/>
          <w:lang w:val="zh-CN"/>
        </w:rPr>
        <w:instrText xml:space="preserve"> HYPERLINK \l _Toc26777 </w:instrText>
      </w:r>
      <w:r>
        <w:rPr>
          <w:rFonts w:hint="eastAsia" w:ascii="宋体" w:hAnsi="宋体" w:cs="宋体"/>
          <w:bCs/>
          <w:lang w:val="zh-CN"/>
        </w:rPr>
        <w:fldChar w:fldCharType="separate"/>
      </w:r>
      <w:r>
        <w:rPr>
          <w:rFonts w:hint="default" w:ascii="Arial" w:hAnsi="Arial" w:cs="Arial"/>
        </w:rPr>
        <w:t xml:space="preserve">2.2.1. </w:t>
      </w:r>
      <w:r>
        <w:rPr>
          <w:rFonts w:hint="eastAsia" w:ascii="宋体" w:hAnsi="宋体" w:cs="宋体"/>
        </w:rPr>
        <w:t>业务原始需求（目标）</w:t>
      </w:r>
      <w:r>
        <w:tab/>
      </w:r>
      <w:r>
        <w:fldChar w:fldCharType="begin"/>
      </w:r>
      <w:r>
        <w:instrText xml:space="preserve"> PAGEREF _Toc26777 \h </w:instrText>
      </w:r>
      <w:r>
        <w:fldChar w:fldCharType="separate"/>
      </w:r>
      <w:r>
        <w:t>4</w:t>
      </w:r>
      <w:r>
        <w:fldChar w:fldCharType="end"/>
      </w:r>
      <w:r>
        <w:rPr>
          <w:rFonts w:hint="eastAsia" w:ascii="宋体" w:hAnsi="宋体" w:cs="宋体"/>
          <w:bCs/>
          <w:lang w:val="zh-CN"/>
        </w:rPr>
        <w:fldChar w:fldCharType="end"/>
      </w:r>
    </w:p>
    <w:p w14:paraId="380CB3F5">
      <w:pPr>
        <w:pStyle w:val="6"/>
        <w:tabs>
          <w:tab w:val="right" w:leader="dot" w:pos="8306"/>
        </w:tabs>
      </w:pPr>
      <w:r>
        <w:rPr>
          <w:rFonts w:hint="eastAsia" w:ascii="宋体" w:hAnsi="宋体" w:cs="宋体"/>
          <w:bCs/>
          <w:lang w:val="zh-CN"/>
        </w:rPr>
        <w:fldChar w:fldCharType="begin"/>
      </w:r>
      <w:r>
        <w:rPr>
          <w:rFonts w:hint="eastAsia" w:ascii="宋体" w:hAnsi="宋体" w:cs="宋体"/>
          <w:bCs/>
          <w:lang w:val="zh-CN"/>
        </w:rPr>
        <w:instrText xml:space="preserve"> HYPERLINK \l _Toc20087 </w:instrText>
      </w:r>
      <w:r>
        <w:rPr>
          <w:rFonts w:hint="eastAsia" w:ascii="宋体" w:hAnsi="宋体" w:cs="宋体"/>
          <w:bCs/>
          <w:lang w:val="zh-CN"/>
        </w:rPr>
        <w:fldChar w:fldCharType="separate"/>
      </w:r>
      <w:r>
        <w:rPr>
          <w:rFonts w:hint="default" w:ascii="Arial" w:hAnsi="Arial" w:cs="Arial"/>
        </w:rPr>
        <w:t xml:space="preserve">2.2.2. </w:t>
      </w:r>
      <w:r>
        <w:rPr>
          <w:rFonts w:hint="eastAsia" w:ascii="宋体" w:hAnsi="宋体" w:cs="宋体"/>
        </w:rPr>
        <w:t>交付要求</w:t>
      </w:r>
      <w:r>
        <w:tab/>
      </w:r>
      <w:r>
        <w:fldChar w:fldCharType="begin"/>
      </w:r>
      <w:r>
        <w:instrText xml:space="preserve"> PAGEREF _Toc20087 \h </w:instrText>
      </w:r>
      <w:r>
        <w:fldChar w:fldCharType="separate"/>
      </w:r>
      <w:r>
        <w:t>4</w:t>
      </w:r>
      <w:r>
        <w:fldChar w:fldCharType="end"/>
      </w:r>
      <w:r>
        <w:rPr>
          <w:rFonts w:hint="eastAsia" w:ascii="宋体" w:hAnsi="宋体" w:cs="宋体"/>
          <w:bCs/>
          <w:lang w:val="zh-CN"/>
        </w:rPr>
        <w:fldChar w:fldCharType="end"/>
      </w:r>
    </w:p>
    <w:p w14:paraId="6DBDDAC4">
      <w:pPr>
        <w:pStyle w:val="10"/>
        <w:tabs>
          <w:tab w:val="right" w:leader="dot" w:pos="8306"/>
        </w:tabs>
      </w:pPr>
      <w:r>
        <w:rPr>
          <w:rFonts w:hint="eastAsia" w:ascii="宋体" w:hAnsi="宋体" w:cs="宋体"/>
          <w:bCs/>
          <w:lang w:val="zh-CN"/>
        </w:rPr>
        <w:fldChar w:fldCharType="begin"/>
      </w:r>
      <w:r>
        <w:rPr>
          <w:rFonts w:hint="eastAsia" w:ascii="宋体" w:hAnsi="宋体" w:cs="宋体"/>
          <w:bCs/>
          <w:lang w:val="zh-CN"/>
        </w:rPr>
        <w:instrText xml:space="preserve"> HYPERLINK \l _Toc5469 </w:instrText>
      </w:r>
      <w:r>
        <w:rPr>
          <w:rFonts w:hint="eastAsia" w:ascii="宋体" w:hAnsi="宋体" w:cs="宋体"/>
          <w:bCs/>
          <w:lang w:val="zh-CN"/>
        </w:rPr>
        <w:fldChar w:fldCharType="separate"/>
      </w:r>
      <w:r>
        <w:rPr>
          <w:rFonts w:hint="default" w:ascii="Arial" w:hAnsi="Arial" w:eastAsia="宋体" w:cs="Arial"/>
          <w:snapToGrid w:val="0"/>
          <w:kern w:val="0"/>
        </w:rPr>
        <w:t xml:space="preserve">2.3. </w:t>
      </w:r>
      <w:r>
        <w:rPr>
          <w:rFonts w:hint="eastAsia" w:ascii="宋体" w:hAnsi="宋体" w:eastAsia="宋体" w:cs="宋体"/>
          <w:snapToGrid w:val="0"/>
          <w:kern w:val="0"/>
        </w:rPr>
        <w:t>业务流程</w:t>
      </w:r>
      <w:r>
        <w:tab/>
      </w:r>
      <w:r>
        <w:fldChar w:fldCharType="begin"/>
      </w:r>
      <w:r>
        <w:instrText xml:space="preserve"> PAGEREF _Toc5469 \h </w:instrText>
      </w:r>
      <w:r>
        <w:fldChar w:fldCharType="separate"/>
      </w:r>
      <w:r>
        <w:t>5</w:t>
      </w:r>
      <w:r>
        <w:fldChar w:fldCharType="end"/>
      </w:r>
      <w:r>
        <w:rPr>
          <w:rFonts w:hint="eastAsia" w:ascii="宋体" w:hAnsi="宋体" w:cs="宋体"/>
          <w:bCs/>
          <w:lang w:val="zh-CN"/>
        </w:rPr>
        <w:fldChar w:fldCharType="end"/>
      </w:r>
    </w:p>
    <w:p w14:paraId="3F1427A3">
      <w:pPr>
        <w:pStyle w:val="9"/>
        <w:tabs>
          <w:tab w:val="right" w:leader="dot" w:pos="8306"/>
        </w:tabs>
      </w:pPr>
      <w:r>
        <w:rPr>
          <w:rFonts w:hint="eastAsia" w:ascii="宋体" w:hAnsi="宋体" w:cs="宋体"/>
          <w:bCs/>
          <w:lang w:val="zh-CN"/>
        </w:rPr>
        <w:fldChar w:fldCharType="begin"/>
      </w:r>
      <w:r>
        <w:rPr>
          <w:rFonts w:hint="eastAsia" w:ascii="宋体" w:hAnsi="宋体" w:cs="宋体"/>
          <w:bCs/>
          <w:lang w:val="zh-CN"/>
        </w:rPr>
        <w:instrText xml:space="preserve"> HYPERLINK \l _Toc22356 </w:instrText>
      </w:r>
      <w:r>
        <w:rPr>
          <w:rFonts w:hint="eastAsia" w:ascii="宋体" w:hAnsi="宋体" w:cs="宋体"/>
          <w:bCs/>
          <w:lang w:val="zh-CN"/>
        </w:rPr>
        <w:fldChar w:fldCharType="separate"/>
      </w:r>
      <w:r>
        <w:rPr>
          <w:rFonts w:hint="default" w:ascii="Arial" w:hAnsi="Arial" w:eastAsia="宋体" w:cs="Arial"/>
        </w:rPr>
        <w:t xml:space="preserve">3. </w:t>
      </w:r>
      <w:r>
        <w:rPr>
          <w:rFonts w:hint="eastAsia" w:ascii="宋体" w:hAnsi="宋体" w:eastAsia="宋体" w:cs="宋体"/>
        </w:rPr>
        <w:t>功能性需求</w:t>
      </w:r>
      <w:r>
        <w:tab/>
      </w:r>
      <w:r>
        <w:fldChar w:fldCharType="begin"/>
      </w:r>
      <w:r>
        <w:instrText xml:space="preserve"> PAGEREF _Toc22356 \h </w:instrText>
      </w:r>
      <w:r>
        <w:fldChar w:fldCharType="separate"/>
      </w:r>
      <w:r>
        <w:t>5</w:t>
      </w:r>
      <w:r>
        <w:fldChar w:fldCharType="end"/>
      </w:r>
      <w:r>
        <w:rPr>
          <w:rFonts w:hint="eastAsia" w:ascii="宋体" w:hAnsi="宋体" w:cs="宋体"/>
          <w:bCs/>
          <w:lang w:val="zh-CN"/>
        </w:rPr>
        <w:fldChar w:fldCharType="end"/>
      </w:r>
    </w:p>
    <w:p w14:paraId="4B87B0F0">
      <w:pPr>
        <w:pStyle w:val="10"/>
        <w:tabs>
          <w:tab w:val="right" w:leader="dot" w:pos="8306"/>
        </w:tabs>
      </w:pPr>
      <w:r>
        <w:rPr>
          <w:rFonts w:hint="eastAsia" w:ascii="宋体" w:hAnsi="宋体" w:cs="宋体"/>
          <w:bCs/>
          <w:lang w:val="zh-CN"/>
        </w:rPr>
        <w:fldChar w:fldCharType="begin"/>
      </w:r>
      <w:r>
        <w:rPr>
          <w:rFonts w:hint="eastAsia" w:ascii="宋体" w:hAnsi="宋体" w:cs="宋体"/>
          <w:bCs/>
          <w:lang w:val="zh-CN"/>
        </w:rPr>
        <w:instrText xml:space="preserve"> HYPERLINK \l _Toc3300 </w:instrText>
      </w:r>
      <w:r>
        <w:rPr>
          <w:rFonts w:hint="eastAsia" w:ascii="宋体" w:hAnsi="宋体" w:cs="宋体"/>
          <w:bCs/>
          <w:lang w:val="zh-CN"/>
        </w:rPr>
        <w:fldChar w:fldCharType="separate"/>
      </w:r>
      <w:r>
        <w:rPr>
          <w:rFonts w:hint="default" w:ascii="Arial" w:hAnsi="Arial" w:eastAsia="宋体" w:cs="Arial"/>
          <w:snapToGrid w:val="0"/>
          <w:kern w:val="0"/>
        </w:rPr>
        <w:t xml:space="preserve">3.1. </w:t>
      </w:r>
      <w:r>
        <w:rPr>
          <w:rFonts w:hint="eastAsia" w:ascii="宋体" w:hAnsi="宋体" w:eastAsia="宋体" w:cs="宋体"/>
          <w:snapToGrid w:val="0"/>
          <w:kern w:val="0"/>
        </w:rPr>
        <w:t>用例</w:t>
      </w:r>
      <w:r>
        <w:rPr>
          <w:rFonts w:ascii="宋体" w:hAnsi="宋体" w:eastAsia="宋体" w:cs="宋体"/>
          <w:snapToGrid w:val="0"/>
          <w:kern w:val="0"/>
        </w:rPr>
        <w:t>1</w:t>
      </w:r>
      <w:r>
        <w:rPr>
          <w:rFonts w:hint="eastAsia" w:ascii="宋体" w:hAnsi="宋体" w:eastAsia="宋体" w:cs="宋体"/>
          <w:snapToGrid w:val="0"/>
          <w:kern w:val="0"/>
        </w:rPr>
        <w:t xml:space="preserve"> </w:t>
      </w:r>
      <w:r>
        <w:rPr>
          <w:rFonts w:hint="eastAsia" w:ascii="宋体" w:hAnsi="宋体" w:eastAsia="宋体" w:cs="宋体"/>
          <w:snapToGrid w:val="0"/>
          <w:kern w:val="0"/>
          <w:lang w:val="en-US" w:eastAsia="zh-CN"/>
        </w:rPr>
        <w:t>协同平台系统（北极星）</w:t>
      </w:r>
      <w:r>
        <w:tab/>
      </w:r>
      <w:r>
        <w:fldChar w:fldCharType="begin"/>
      </w:r>
      <w:r>
        <w:instrText xml:space="preserve"> PAGEREF _Toc3300 \h </w:instrText>
      </w:r>
      <w:r>
        <w:fldChar w:fldCharType="separate"/>
      </w:r>
      <w:r>
        <w:t>5</w:t>
      </w:r>
      <w:r>
        <w:fldChar w:fldCharType="end"/>
      </w:r>
      <w:r>
        <w:rPr>
          <w:rFonts w:hint="eastAsia" w:ascii="宋体" w:hAnsi="宋体" w:cs="宋体"/>
          <w:bCs/>
          <w:lang w:val="zh-CN"/>
        </w:rPr>
        <w:fldChar w:fldCharType="end"/>
      </w:r>
    </w:p>
    <w:p w14:paraId="5885180A">
      <w:pPr>
        <w:pStyle w:val="6"/>
        <w:tabs>
          <w:tab w:val="right" w:leader="dot" w:pos="8306"/>
        </w:tabs>
      </w:pPr>
      <w:r>
        <w:rPr>
          <w:rFonts w:hint="eastAsia" w:ascii="宋体" w:hAnsi="宋体" w:cs="宋体"/>
          <w:bCs/>
          <w:lang w:val="zh-CN"/>
        </w:rPr>
        <w:fldChar w:fldCharType="begin"/>
      </w:r>
      <w:r>
        <w:rPr>
          <w:rFonts w:hint="eastAsia" w:ascii="宋体" w:hAnsi="宋体" w:cs="宋体"/>
          <w:bCs/>
          <w:lang w:val="zh-CN"/>
        </w:rPr>
        <w:instrText xml:space="preserve"> HYPERLINK \l _Toc31624 </w:instrText>
      </w:r>
      <w:r>
        <w:rPr>
          <w:rFonts w:hint="eastAsia" w:ascii="宋体" w:hAnsi="宋体" w:cs="宋体"/>
          <w:bCs/>
          <w:lang w:val="zh-CN"/>
        </w:rPr>
        <w:fldChar w:fldCharType="separate"/>
      </w:r>
      <w:r>
        <w:rPr>
          <w:rFonts w:hint="default" w:ascii="Arial" w:hAnsi="Arial" w:cs="Arial"/>
          <w:snapToGrid w:val="0"/>
          <w:kern w:val="0"/>
          <w:szCs w:val="24"/>
        </w:rPr>
        <w:t xml:space="preserve">3.1.1. </w:t>
      </w:r>
      <w:r>
        <w:rPr>
          <w:rFonts w:hint="eastAsia" w:ascii="宋体" w:hAnsi="宋体" w:cs="宋体"/>
          <w:snapToGrid w:val="0"/>
          <w:kern w:val="0"/>
          <w:szCs w:val="24"/>
        </w:rPr>
        <w:t>功能描述</w:t>
      </w:r>
      <w:r>
        <w:tab/>
      </w:r>
      <w:r>
        <w:fldChar w:fldCharType="begin"/>
      </w:r>
      <w:r>
        <w:instrText xml:space="preserve"> PAGEREF _Toc31624 \h </w:instrText>
      </w:r>
      <w:r>
        <w:fldChar w:fldCharType="separate"/>
      </w:r>
      <w:r>
        <w:t>5</w:t>
      </w:r>
      <w:r>
        <w:fldChar w:fldCharType="end"/>
      </w:r>
      <w:r>
        <w:rPr>
          <w:rFonts w:hint="eastAsia" w:ascii="宋体" w:hAnsi="宋体" w:cs="宋体"/>
          <w:bCs/>
          <w:lang w:val="zh-CN"/>
        </w:rPr>
        <w:fldChar w:fldCharType="end"/>
      </w:r>
    </w:p>
    <w:p w14:paraId="3876C590">
      <w:pPr>
        <w:pStyle w:val="6"/>
        <w:tabs>
          <w:tab w:val="right" w:leader="dot" w:pos="8306"/>
        </w:tabs>
      </w:pPr>
      <w:r>
        <w:rPr>
          <w:rFonts w:hint="eastAsia" w:ascii="宋体" w:hAnsi="宋体" w:cs="宋体"/>
          <w:bCs/>
          <w:lang w:val="zh-CN"/>
        </w:rPr>
        <w:fldChar w:fldCharType="begin"/>
      </w:r>
      <w:r>
        <w:rPr>
          <w:rFonts w:hint="eastAsia" w:ascii="宋体" w:hAnsi="宋体" w:cs="宋体"/>
          <w:bCs/>
          <w:lang w:val="zh-CN"/>
        </w:rPr>
        <w:instrText xml:space="preserve"> HYPERLINK \l _Toc15510 </w:instrText>
      </w:r>
      <w:r>
        <w:rPr>
          <w:rFonts w:hint="eastAsia" w:ascii="宋体" w:hAnsi="宋体" w:cs="宋体"/>
          <w:bCs/>
          <w:lang w:val="zh-CN"/>
        </w:rPr>
        <w:fldChar w:fldCharType="separate"/>
      </w:r>
      <w:r>
        <w:rPr>
          <w:rFonts w:hint="default" w:ascii="Arial" w:hAnsi="Arial" w:cs="Arial"/>
          <w:snapToGrid w:val="0"/>
          <w:kern w:val="0"/>
          <w:szCs w:val="24"/>
        </w:rPr>
        <w:t xml:space="preserve">3.1.2. </w:t>
      </w:r>
      <w:r>
        <w:rPr>
          <w:rFonts w:hint="eastAsia" w:ascii="宋体" w:hAnsi="宋体" w:cs="宋体"/>
          <w:snapToGrid w:val="0"/>
          <w:kern w:val="0"/>
          <w:szCs w:val="24"/>
        </w:rPr>
        <w:t>业务规则</w:t>
      </w:r>
      <w:r>
        <w:tab/>
      </w:r>
      <w:r>
        <w:fldChar w:fldCharType="begin"/>
      </w:r>
      <w:r>
        <w:instrText xml:space="preserve"> PAGEREF _Toc15510 \h </w:instrText>
      </w:r>
      <w:r>
        <w:fldChar w:fldCharType="separate"/>
      </w:r>
      <w:r>
        <w:t>5</w:t>
      </w:r>
      <w:r>
        <w:fldChar w:fldCharType="end"/>
      </w:r>
      <w:r>
        <w:rPr>
          <w:rFonts w:hint="eastAsia" w:ascii="宋体" w:hAnsi="宋体" w:cs="宋体"/>
          <w:bCs/>
          <w:lang w:val="zh-CN"/>
        </w:rPr>
        <w:fldChar w:fldCharType="end"/>
      </w:r>
    </w:p>
    <w:p w14:paraId="5071C03F">
      <w:pPr>
        <w:pStyle w:val="10"/>
        <w:tabs>
          <w:tab w:val="right" w:leader="dot" w:pos="8306"/>
        </w:tabs>
      </w:pPr>
      <w:r>
        <w:rPr>
          <w:rFonts w:hint="eastAsia" w:ascii="宋体" w:hAnsi="宋体" w:cs="宋体"/>
          <w:bCs/>
          <w:lang w:val="zh-CN"/>
        </w:rPr>
        <w:fldChar w:fldCharType="begin"/>
      </w:r>
      <w:r>
        <w:rPr>
          <w:rFonts w:hint="eastAsia" w:ascii="宋体" w:hAnsi="宋体" w:cs="宋体"/>
          <w:bCs/>
          <w:lang w:val="zh-CN"/>
        </w:rPr>
        <w:instrText xml:space="preserve"> HYPERLINK \l _Toc25006 </w:instrText>
      </w:r>
      <w:r>
        <w:rPr>
          <w:rFonts w:hint="eastAsia" w:ascii="宋体" w:hAnsi="宋体" w:cs="宋体"/>
          <w:bCs/>
          <w:lang w:val="zh-CN"/>
        </w:rPr>
        <w:fldChar w:fldCharType="separate"/>
      </w:r>
      <w:r>
        <w:rPr>
          <w:rFonts w:hint="default" w:ascii="Arial" w:hAnsi="Arial" w:cs="Arial"/>
          <w:lang w:val="en-US" w:eastAsia="zh-CN"/>
        </w:rPr>
        <w:t xml:space="preserve">3.2. </w:t>
      </w:r>
      <w:r>
        <w:rPr>
          <w:rFonts w:hint="eastAsia" w:ascii="宋体" w:hAnsi="宋体" w:eastAsia="宋体" w:cs="宋体"/>
          <w:snapToGrid w:val="0"/>
          <w:kern w:val="0"/>
        </w:rPr>
        <w:t>用例</w:t>
      </w:r>
      <w:r>
        <w:rPr>
          <w:rFonts w:hint="eastAsia" w:ascii="宋体" w:hAnsi="宋体" w:eastAsia="宋体" w:cs="宋体"/>
          <w:snapToGrid w:val="0"/>
          <w:kern w:val="0"/>
          <w:lang w:val="en-US" w:eastAsia="zh-CN"/>
        </w:rPr>
        <w:t>2</w:t>
      </w:r>
      <w:r>
        <w:rPr>
          <w:rFonts w:hint="eastAsia" w:ascii="宋体" w:hAnsi="宋体" w:eastAsia="宋体" w:cs="宋体"/>
          <w:snapToGrid w:val="0"/>
          <w:kern w:val="0"/>
        </w:rPr>
        <w:t xml:space="preserve"> </w:t>
      </w:r>
      <w:r>
        <w:rPr>
          <w:rFonts w:hint="eastAsia" w:ascii="宋体" w:hAnsi="宋体" w:eastAsia="宋体" w:cs="宋体"/>
          <w:snapToGrid w:val="0"/>
          <w:kern w:val="0"/>
          <w:lang w:val="en-US" w:eastAsia="zh-CN"/>
        </w:rPr>
        <w:t>移动理赔系统</w:t>
      </w:r>
      <w:r>
        <w:tab/>
      </w:r>
      <w:r>
        <w:fldChar w:fldCharType="begin"/>
      </w:r>
      <w:r>
        <w:instrText xml:space="preserve"> PAGEREF _Toc25006 \h </w:instrText>
      </w:r>
      <w:r>
        <w:fldChar w:fldCharType="separate"/>
      </w:r>
      <w:r>
        <w:t>6</w:t>
      </w:r>
      <w:r>
        <w:fldChar w:fldCharType="end"/>
      </w:r>
      <w:r>
        <w:rPr>
          <w:rFonts w:hint="eastAsia" w:ascii="宋体" w:hAnsi="宋体" w:cs="宋体"/>
          <w:bCs/>
          <w:lang w:val="zh-CN"/>
        </w:rPr>
        <w:fldChar w:fldCharType="end"/>
      </w:r>
    </w:p>
    <w:p w14:paraId="408CBDAC">
      <w:pPr>
        <w:pStyle w:val="6"/>
        <w:tabs>
          <w:tab w:val="right" w:leader="dot" w:pos="8306"/>
        </w:tabs>
      </w:pPr>
      <w:r>
        <w:rPr>
          <w:rFonts w:hint="eastAsia" w:ascii="宋体" w:hAnsi="宋体" w:cs="宋体"/>
          <w:bCs/>
          <w:lang w:val="zh-CN"/>
        </w:rPr>
        <w:fldChar w:fldCharType="begin"/>
      </w:r>
      <w:r>
        <w:rPr>
          <w:rFonts w:hint="eastAsia" w:ascii="宋体" w:hAnsi="宋体" w:cs="宋体"/>
          <w:bCs/>
          <w:lang w:val="zh-CN"/>
        </w:rPr>
        <w:instrText xml:space="preserve"> HYPERLINK \l _Toc19473 </w:instrText>
      </w:r>
      <w:r>
        <w:rPr>
          <w:rFonts w:hint="eastAsia" w:ascii="宋体" w:hAnsi="宋体" w:cs="宋体"/>
          <w:bCs/>
          <w:lang w:val="zh-CN"/>
        </w:rPr>
        <w:fldChar w:fldCharType="separate"/>
      </w:r>
      <w:r>
        <w:rPr>
          <w:rFonts w:hint="default" w:ascii="Arial" w:hAnsi="Arial" w:cs="Arial"/>
          <w:snapToGrid w:val="0"/>
          <w:kern w:val="0"/>
          <w:szCs w:val="24"/>
        </w:rPr>
        <w:t xml:space="preserve">3.2.1. </w:t>
      </w:r>
      <w:r>
        <w:rPr>
          <w:rFonts w:hint="eastAsia" w:ascii="宋体" w:hAnsi="宋体" w:cs="宋体"/>
          <w:snapToGrid w:val="0"/>
          <w:kern w:val="0"/>
          <w:szCs w:val="24"/>
        </w:rPr>
        <w:t>功能描述</w:t>
      </w:r>
      <w:r>
        <w:tab/>
      </w:r>
      <w:r>
        <w:fldChar w:fldCharType="begin"/>
      </w:r>
      <w:r>
        <w:instrText xml:space="preserve"> PAGEREF _Toc19473 \h </w:instrText>
      </w:r>
      <w:r>
        <w:fldChar w:fldCharType="separate"/>
      </w:r>
      <w:r>
        <w:t>6</w:t>
      </w:r>
      <w:r>
        <w:fldChar w:fldCharType="end"/>
      </w:r>
      <w:r>
        <w:rPr>
          <w:rFonts w:hint="eastAsia" w:ascii="宋体" w:hAnsi="宋体" w:cs="宋体"/>
          <w:bCs/>
          <w:lang w:val="zh-CN"/>
        </w:rPr>
        <w:fldChar w:fldCharType="end"/>
      </w:r>
    </w:p>
    <w:p w14:paraId="3E145392">
      <w:pPr>
        <w:pStyle w:val="10"/>
        <w:tabs>
          <w:tab w:val="right" w:leader="dot" w:pos="8306"/>
        </w:tabs>
      </w:pPr>
      <w:r>
        <w:rPr>
          <w:rFonts w:hint="eastAsia" w:ascii="宋体" w:hAnsi="宋体" w:cs="宋体"/>
          <w:bCs/>
          <w:lang w:val="zh-CN"/>
        </w:rPr>
        <w:fldChar w:fldCharType="begin"/>
      </w:r>
      <w:r>
        <w:rPr>
          <w:rFonts w:hint="eastAsia" w:ascii="宋体" w:hAnsi="宋体" w:cs="宋体"/>
          <w:bCs/>
          <w:lang w:val="zh-CN"/>
        </w:rPr>
        <w:instrText xml:space="preserve"> HYPERLINK \l _Toc2200 </w:instrText>
      </w:r>
      <w:r>
        <w:rPr>
          <w:rFonts w:hint="eastAsia" w:ascii="宋体" w:hAnsi="宋体" w:cs="宋体"/>
          <w:bCs/>
          <w:lang w:val="zh-CN"/>
        </w:rPr>
        <w:fldChar w:fldCharType="separate"/>
      </w:r>
      <w:r>
        <w:rPr>
          <w:rFonts w:hint="default" w:ascii="Arial" w:hAnsi="Arial" w:cs="Arial"/>
          <w:lang w:val="en-US" w:eastAsia="zh-CN"/>
        </w:rPr>
        <w:t xml:space="preserve">3.3. </w:t>
      </w:r>
      <w:r>
        <w:rPr>
          <w:rFonts w:hint="eastAsia" w:ascii="宋体" w:hAnsi="宋体" w:eastAsia="宋体" w:cs="宋体"/>
          <w:snapToGrid w:val="0"/>
          <w:kern w:val="0"/>
        </w:rPr>
        <w:t xml:space="preserve">用例3 </w:t>
      </w:r>
      <w:r>
        <w:rPr>
          <w:rFonts w:hint="eastAsia" w:ascii="宋体" w:hAnsi="宋体" w:eastAsia="宋体" w:cs="宋体"/>
          <w:snapToGrid w:val="0"/>
          <w:kern w:val="0"/>
          <w:lang w:val="en-US" w:eastAsia="zh-CN"/>
        </w:rPr>
        <w:t>线上理赔系统</w:t>
      </w:r>
      <w:r>
        <w:tab/>
      </w:r>
      <w:r>
        <w:fldChar w:fldCharType="begin"/>
      </w:r>
      <w:r>
        <w:instrText xml:space="preserve"> PAGEREF _Toc2200 \h </w:instrText>
      </w:r>
      <w:r>
        <w:fldChar w:fldCharType="separate"/>
      </w:r>
      <w:r>
        <w:t>6</w:t>
      </w:r>
      <w:r>
        <w:fldChar w:fldCharType="end"/>
      </w:r>
      <w:r>
        <w:rPr>
          <w:rFonts w:hint="eastAsia" w:ascii="宋体" w:hAnsi="宋体" w:cs="宋体"/>
          <w:bCs/>
          <w:lang w:val="zh-CN"/>
        </w:rPr>
        <w:fldChar w:fldCharType="end"/>
      </w:r>
    </w:p>
    <w:p w14:paraId="6BA16A0C">
      <w:pPr>
        <w:pStyle w:val="6"/>
        <w:tabs>
          <w:tab w:val="right" w:leader="dot" w:pos="8306"/>
        </w:tabs>
      </w:pPr>
      <w:r>
        <w:rPr>
          <w:rFonts w:hint="eastAsia" w:ascii="宋体" w:hAnsi="宋体" w:cs="宋体"/>
          <w:bCs/>
          <w:lang w:val="zh-CN"/>
        </w:rPr>
        <w:fldChar w:fldCharType="begin"/>
      </w:r>
      <w:r>
        <w:rPr>
          <w:rFonts w:hint="eastAsia" w:ascii="宋体" w:hAnsi="宋体" w:cs="宋体"/>
          <w:bCs/>
          <w:lang w:val="zh-CN"/>
        </w:rPr>
        <w:instrText xml:space="preserve"> HYPERLINK \l _Toc1505 </w:instrText>
      </w:r>
      <w:r>
        <w:rPr>
          <w:rFonts w:hint="eastAsia" w:ascii="宋体" w:hAnsi="宋体" w:cs="宋体"/>
          <w:bCs/>
          <w:lang w:val="zh-CN"/>
        </w:rPr>
        <w:fldChar w:fldCharType="separate"/>
      </w:r>
      <w:r>
        <w:rPr>
          <w:rFonts w:hint="default" w:ascii="Arial" w:hAnsi="Arial" w:cs="Arial"/>
          <w:snapToGrid w:val="0"/>
          <w:kern w:val="0"/>
          <w:szCs w:val="24"/>
        </w:rPr>
        <w:t xml:space="preserve">3.3.1. </w:t>
      </w:r>
      <w:r>
        <w:rPr>
          <w:rFonts w:hint="eastAsia" w:ascii="宋体" w:hAnsi="宋体" w:cs="宋体"/>
          <w:snapToGrid w:val="0"/>
          <w:kern w:val="0"/>
          <w:szCs w:val="24"/>
        </w:rPr>
        <w:t>功能描述</w:t>
      </w:r>
      <w:r>
        <w:tab/>
      </w:r>
      <w:r>
        <w:fldChar w:fldCharType="begin"/>
      </w:r>
      <w:r>
        <w:instrText xml:space="preserve"> PAGEREF _Toc1505 \h </w:instrText>
      </w:r>
      <w:r>
        <w:fldChar w:fldCharType="separate"/>
      </w:r>
      <w:r>
        <w:t>6</w:t>
      </w:r>
      <w:r>
        <w:fldChar w:fldCharType="end"/>
      </w:r>
      <w:r>
        <w:rPr>
          <w:rFonts w:hint="eastAsia" w:ascii="宋体" w:hAnsi="宋体" w:cs="宋体"/>
          <w:bCs/>
          <w:lang w:val="zh-CN"/>
        </w:rPr>
        <w:fldChar w:fldCharType="end"/>
      </w:r>
    </w:p>
    <w:p w14:paraId="7CA7F4D7">
      <w:pPr>
        <w:pStyle w:val="10"/>
        <w:tabs>
          <w:tab w:val="right" w:leader="dot" w:pos="8306"/>
        </w:tabs>
      </w:pPr>
      <w:r>
        <w:rPr>
          <w:rFonts w:hint="eastAsia" w:ascii="宋体" w:hAnsi="宋体" w:cs="宋体"/>
          <w:bCs/>
          <w:lang w:val="zh-CN"/>
        </w:rPr>
        <w:fldChar w:fldCharType="begin"/>
      </w:r>
      <w:r>
        <w:rPr>
          <w:rFonts w:hint="eastAsia" w:ascii="宋体" w:hAnsi="宋体" w:cs="宋体"/>
          <w:bCs/>
          <w:lang w:val="zh-CN"/>
        </w:rPr>
        <w:instrText xml:space="preserve"> HYPERLINK \l _Toc17306 </w:instrText>
      </w:r>
      <w:r>
        <w:rPr>
          <w:rFonts w:hint="eastAsia" w:ascii="宋体" w:hAnsi="宋体" w:cs="宋体"/>
          <w:bCs/>
          <w:lang w:val="zh-CN"/>
        </w:rPr>
        <w:fldChar w:fldCharType="separate"/>
      </w:r>
      <w:r>
        <w:rPr>
          <w:rFonts w:hint="default" w:ascii="Arial" w:hAnsi="Arial" w:eastAsia="宋体" w:cs="Arial"/>
          <w:snapToGrid w:val="0"/>
          <w:kern w:val="0"/>
        </w:rPr>
        <w:t xml:space="preserve">3.4. </w:t>
      </w:r>
      <w:r>
        <w:rPr>
          <w:rFonts w:hint="eastAsia" w:ascii="宋体" w:hAnsi="宋体" w:eastAsia="宋体" w:cs="宋体"/>
          <w:snapToGrid w:val="0"/>
          <w:kern w:val="0"/>
        </w:rPr>
        <w:t>用例</w:t>
      </w:r>
      <w:r>
        <w:rPr>
          <w:rFonts w:hint="eastAsia" w:ascii="宋体" w:hAnsi="宋体" w:eastAsia="宋体" w:cs="宋体"/>
          <w:snapToGrid w:val="0"/>
          <w:kern w:val="0"/>
          <w:lang w:val="en-US" w:eastAsia="zh-CN"/>
        </w:rPr>
        <w:t>4</w:t>
      </w:r>
      <w:r>
        <w:rPr>
          <w:rFonts w:hint="eastAsia" w:ascii="宋体" w:hAnsi="宋体" w:eastAsia="宋体" w:cs="宋体"/>
          <w:snapToGrid w:val="0"/>
          <w:kern w:val="0"/>
        </w:rPr>
        <w:t xml:space="preserve"> </w:t>
      </w:r>
      <w:r>
        <w:rPr>
          <w:rFonts w:hint="eastAsia" w:ascii="宋体" w:hAnsi="宋体" w:eastAsia="宋体" w:cs="宋体"/>
          <w:snapToGrid w:val="0"/>
          <w:kern w:val="0"/>
          <w:lang w:val="en-US" w:eastAsia="zh-CN"/>
        </w:rPr>
        <w:t>车理赔系统</w:t>
      </w:r>
      <w:r>
        <w:tab/>
      </w:r>
      <w:r>
        <w:fldChar w:fldCharType="begin"/>
      </w:r>
      <w:r>
        <w:instrText xml:space="preserve"> PAGEREF _Toc17306 \h </w:instrText>
      </w:r>
      <w:r>
        <w:fldChar w:fldCharType="separate"/>
      </w:r>
      <w:r>
        <w:t>7</w:t>
      </w:r>
      <w:r>
        <w:fldChar w:fldCharType="end"/>
      </w:r>
      <w:r>
        <w:rPr>
          <w:rFonts w:hint="eastAsia" w:ascii="宋体" w:hAnsi="宋体" w:cs="宋体"/>
          <w:bCs/>
          <w:lang w:val="zh-CN"/>
        </w:rPr>
        <w:fldChar w:fldCharType="end"/>
      </w:r>
    </w:p>
    <w:p w14:paraId="668F403F">
      <w:pPr>
        <w:pStyle w:val="6"/>
        <w:tabs>
          <w:tab w:val="right" w:leader="dot" w:pos="8306"/>
        </w:tabs>
      </w:pPr>
      <w:r>
        <w:rPr>
          <w:rFonts w:hint="eastAsia" w:ascii="宋体" w:hAnsi="宋体" w:cs="宋体"/>
          <w:bCs/>
          <w:lang w:val="zh-CN"/>
        </w:rPr>
        <w:fldChar w:fldCharType="begin"/>
      </w:r>
      <w:r>
        <w:rPr>
          <w:rFonts w:hint="eastAsia" w:ascii="宋体" w:hAnsi="宋体" w:cs="宋体"/>
          <w:bCs/>
          <w:lang w:val="zh-CN"/>
        </w:rPr>
        <w:instrText xml:space="preserve"> HYPERLINK \l _Toc16156 </w:instrText>
      </w:r>
      <w:r>
        <w:rPr>
          <w:rFonts w:hint="eastAsia" w:ascii="宋体" w:hAnsi="宋体" w:cs="宋体"/>
          <w:bCs/>
          <w:lang w:val="zh-CN"/>
        </w:rPr>
        <w:fldChar w:fldCharType="separate"/>
      </w:r>
      <w:r>
        <w:rPr>
          <w:rFonts w:hint="default" w:ascii="Arial" w:hAnsi="Arial" w:cs="Arial"/>
          <w:snapToGrid w:val="0"/>
          <w:kern w:val="0"/>
          <w:szCs w:val="24"/>
        </w:rPr>
        <w:t xml:space="preserve">3.4.1. </w:t>
      </w:r>
      <w:r>
        <w:rPr>
          <w:rFonts w:hint="eastAsia" w:ascii="宋体" w:hAnsi="宋体" w:cs="宋体"/>
          <w:snapToGrid w:val="0"/>
          <w:kern w:val="0"/>
          <w:szCs w:val="24"/>
        </w:rPr>
        <w:t>功能描述</w:t>
      </w:r>
      <w:r>
        <w:tab/>
      </w:r>
      <w:r>
        <w:fldChar w:fldCharType="begin"/>
      </w:r>
      <w:r>
        <w:instrText xml:space="preserve"> PAGEREF _Toc16156 \h </w:instrText>
      </w:r>
      <w:r>
        <w:fldChar w:fldCharType="separate"/>
      </w:r>
      <w:r>
        <w:t>7</w:t>
      </w:r>
      <w:r>
        <w:fldChar w:fldCharType="end"/>
      </w:r>
      <w:r>
        <w:rPr>
          <w:rFonts w:hint="eastAsia" w:ascii="宋体" w:hAnsi="宋体" w:cs="宋体"/>
          <w:bCs/>
          <w:lang w:val="zh-CN"/>
        </w:rPr>
        <w:fldChar w:fldCharType="end"/>
      </w:r>
    </w:p>
    <w:p w14:paraId="25F0614C">
      <w:pPr>
        <w:pStyle w:val="6"/>
        <w:tabs>
          <w:tab w:val="right" w:leader="dot" w:pos="8306"/>
        </w:tabs>
      </w:pPr>
      <w:r>
        <w:rPr>
          <w:rFonts w:hint="eastAsia" w:ascii="宋体" w:hAnsi="宋体" w:cs="宋体"/>
          <w:bCs/>
          <w:lang w:val="zh-CN"/>
        </w:rPr>
        <w:fldChar w:fldCharType="begin"/>
      </w:r>
      <w:r>
        <w:rPr>
          <w:rFonts w:hint="eastAsia" w:ascii="宋体" w:hAnsi="宋体" w:cs="宋体"/>
          <w:bCs/>
          <w:lang w:val="zh-CN"/>
        </w:rPr>
        <w:instrText xml:space="preserve"> HYPERLINK \l _Toc28228 </w:instrText>
      </w:r>
      <w:r>
        <w:rPr>
          <w:rFonts w:hint="eastAsia" w:ascii="宋体" w:hAnsi="宋体" w:cs="宋体"/>
          <w:bCs/>
          <w:lang w:val="zh-CN"/>
        </w:rPr>
        <w:fldChar w:fldCharType="separate"/>
      </w:r>
      <w:r>
        <w:rPr>
          <w:rFonts w:hint="default" w:ascii="Arial" w:hAnsi="Arial" w:cs="Arial"/>
          <w:snapToGrid w:val="0"/>
          <w:kern w:val="0"/>
          <w:szCs w:val="24"/>
        </w:rPr>
        <w:t xml:space="preserve">3.4.2. </w:t>
      </w:r>
      <w:r>
        <w:rPr>
          <w:rFonts w:hint="eastAsia" w:ascii="宋体" w:hAnsi="宋体" w:cs="宋体"/>
          <w:snapToGrid w:val="0"/>
          <w:kern w:val="0"/>
          <w:szCs w:val="24"/>
        </w:rPr>
        <w:t>业务规则</w:t>
      </w:r>
      <w:r>
        <w:tab/>
      </w:r>
      <w:r>
        <w:fldChar w:fldCharType="begin"/>
      </w:r>
      <w:r>
        <w:instrText xml:space="preserve"> PAGEREF _Toc28228 \h </w:instrText>
      </w:r>
      <w:r>
        <w:fldChar w:fldCharType="separate"/>
      </w:r>
      <w:r>
        <w:t>7</w:t>
      </w:r>
      <w:r>
        <w:fldChar w:fldCharType="end"/>
      </w:r>
      <w:r>
        <w:rPr>
          <w:rFonts w:hint="eastAsia" w:ascii="宋体" w:hAnsi="宋体" w:cs="宋体"/>
          <w:bCs/>
          <w:lang w:val="zh-CN"/>
        </w:rPr>
        <w:fldChar w:fldCharType="end"/>
      </w:r>
    </w:p>
    <w:p w14:paraId="44B63F49">
      <w:pPr>
        <w:pStyle w:val="10"/>
        <w:tabs>
          <w:tab w:val="right" w:leader="dot" w:pos="8306"/>
        </w:tabs>
      </w:pPr>
      <w:r>
        <w:rPr>
          <w:rFonts w:hint="eastAsia" w:ascii="宋体" w:hAnsi="宋体" w:cs="宋体"/>
          <w:bCs/>
          <w:lang w:val="zh-CN"/>
        </w:rPr>
        <w:fldChar w:fldCharType="begin"/>
      </w:r>
      <w:r>
        <w:rPr>
          <w:rFonts w:hint="eastAsia" w:ascii="宋体" w:hAnsi="宋体" w:cs="宋体"/>
          <w:bCs/>
          <w:lang w:val="zh-CN"/>
        </w:rPr>
        <w:instrText xml:space="preserve"> HYPERLINK \l _Toc31929 </w:instrText>
      </w:r>
      <w:r>
        <w:rPr>
          <w:rFonts w:hint="eastAsia" w:ascii="宋体" w:hAnsi="宋体" w:cs="宋体"/>
          <w:bCs/>
          <w:lang w:val="zh-CN"/>
        </w:rPr>
        <w:fldChar w:fldCharType="separate"/>
      </w:r>
      <w:r>
        <w:rPr>
          <w:rFonts w:hint="default" w:ascii="Arial" w:hAnsi="Arial" w:eastAsia="宋体" w:cs="Arial"/>
          <w:snapToGrid w:val="0"/>
          <w:kern w:val="0"/>
        </w:rPr>
        <w:t xml:space="preserve">3.5. </w:t>
      </w:r>
      <w:r>
        <w:rPr>
          <w:rFonts w:hint="eastAsia" w:ascii="宋体" w:hAnsi="宋体" w:eastAsia="宋体" w:cs="宋体"/>
          <w:snapToGrid w:val="0"/>
          <w:kern w:val="0"/>
        </w:rPr>
        <w:t>用例</w:t>
      </w:r>
      <w:r>
        <w:rPr>
          <w:rFonts w:hint="eastAsia" w:ascii="宋体" w:hAnsi="宋体" w:eastAsia="宋体" w:cs="宋体"/>
          <w:snapToGrid w:val="0"/>
          <w:kern w:val="0"/>
          <w:lang w:val="en-US" w:eastAsia="zh-CN"/>
        </w:rPr>
        <w:t>5</w:t>
      </w:r>
      <w:r>
        <w:rPr>
          <w:rFonts w:hint="eastAsia" w:ascii="宋体" w:hAnsi="宋体" w:eastAsia="宋体" w:cs="宋体"/>
          <w:snapToGrid w:val="0"/>
          <w:kern w:val="0"/>
        </w:rPr>
        <w:t xml:space="preserve"> </w:t>
      </w:r>
      <w:r>
        <w:rPr>
          <w:rFonts w:hint="eastAsia" w:ascii="宋体" w:hAnsi="宋体" w:eastAsia="宋体" w:cs="宋体"/>
          <w:snapToGrid w:val="0"/>
          <w:kern w:val="0"/>
          <w:lang w:val="en-US" w:eastAsia="zh-CN"/>
        </w:rPr>
        <w:t>意健险理赔系统</w:t>
      </w:r>
      <w:r>
        <w:tab/>
      </w:r>
      <w:r>
        <w:fldChar w:fldCharType="begin"/>
      </w:r>
      <w:r>
        <w:instrText xml:space="preserve"> PAGEREF _Toc31929 \h </w:instrText>
      </w:r>
      <w:r>
        <w:fldChar w:fldCharType="separate"/>
      </w:r>
      <w:r>
        <w:t>8</w:t>
      </w:r>
      <w:r>
        <w:fldChar w:fldCharType="end"/>
      </w:r>
      <w:r>
        <w:rPr>
          <w:rFonts w:hint="eastAsia" w:ascii="宋体" w:hAnsi="宋体" w:cs="宋体"/>
          <w:bCs/>
          <w:lang w:val="zh-CN"/>
        </w:rPr>
        <w:fldChar w:fldCharType="end"/>
      </w:r>
    </w:p>
    <w:p w14:paraId="49E185F2">
      <w:pPr>
        <w:pStyle w:val="6"/>
        <w:tabs>
          <w:tab w:val="right" w:leader="dot" w:pos="8306"/>
        </w:tabs>
      </w:pPr>
      <w:r>
        <w:rPr>
          <w:rFonts w:hint="eastAsia" w:ascii="宋体" w:hAnsi="宋体" w:cs="宋体"/>
          <w:bCs/>
          <w:lang w:val="zh-CN"/>
        </w:rPr>
        <w:fldChar w:fldCharType="begin"/>
      </w:r>
      <w:r>
        <w:rPr>
          <w:rFonts w:hint="eastAsia" w:ascii="宋体" w:hAnsi="宋体" w:cs="宋体"/>
          <w:bCs/>
          <w:lang w:val="zh-CN"/>
        </w:rPr>
        <w:instrText xml:space="preserve"> HYPERLINK \l _Toc15041 </w:instrText>
      </w:r>
      <w:r>
        <w:rPr>
          <w:rFonts w:hint="eastAsia" w:ascii="宋体" w:hAnsi="宋体" w:cs="宋体"/>
          <w:bCs/>
          <w:lang w:val="zh-CN"/>
        </w:rPr>
        <w:fldChar w:fldCharType="separate"/>
      </w:r>
      <w:r>
        <w:rPr>
          <w:rFonts w:hint="default" w:ascii="Arial" w:hAnsi="Arial" w:cs="Arial"/>
          <w:snapToGrid w:val="0"/>
          <w:kern w:val="0"/>
          <w:szCs w:val="24"/>
        </w:rPr>
        <w:t xml:space="preserve">3.5.1. </w:t>
      </w:r>
      <w:r>
        <w:rPr>
          <w:rFonts w:hint="eastAsia" w:ascii="宋体" w:hAnsi="宋体" w:cs="宋体"/>
          <w:snapToGrid w:val="0"/>
          <w:kern w:val="0"/>
          <w:szCs w:val="24"/>
        </w:rPr>
        <w:t>功能描述</w:t>
      </w:r>
      <w:r>
        <w:tab/>
      </w:r>
      <w:r>
        <w:fldChar w:fldCharType="begin"/>
      </w:r>
      <w:r>
        <w:instrText xml:space="preserve"> PAGEREF _Toc15041 \h </w:instrText>
      </w:r>
      <w:r>
        <w:fldChar w:fldCharType="separate"/>
      </w:r>
      <w:r>
        <w:t>9</w:t>
      </w:r>
      <w:r>
        <w:fldChar w:fldCharType="end"/>
      </w:r>
      <w:r>
        <w:rPr>
          <w:rFonts w:hint="eastAsia" w:ascii="宋体" w:hAnsi="宋体" w:cs="宋体"/>
          <w:bCs/>
          <w:lang w:val="zh-CN"/>
        </w:rPr>
        <w:fldChar w:fldCharType="end"/>
      </w:r>
    </w:p>
    <w:p w14:paraId="52189515">
      <w:pPr>
        <w:pStyle w:val="6"/>
        <w:tabs>
          <w:tab w:val="right" w:leader="dot" w:pos="8306"/>
        </w:tabs>
      </w:pPr>
      <w:r>
        <w:rPr>
          <w:rFonts w:hint="eastAsia" w:ascii="宋体" w:hAnsi="宋体" w:cs="宋体"/>
          <w:bCs/>
          <w:lang w:val="zh-CN"/>
        </w:rPr>
        <w:fldChar w:fldCharType="begin"/>
      </w:r>
      <w:r>
        <w:rPr>
          <w:rFonts w:hint="eastAsia" w:ascii="宋体" w:hAnsi="宋体" w:cs="宋体"/>
          <w:bCs/>
          <w:lang w:val="zh-CN"/>
        </w:rPr>
        <w:instrText xml:space="preserve"> HYPERLINK \l _Toc19683 </w:instrText>
      </w:r>
      <w:r>
        <w:rPr>
          <w:rFonts w:hint="eastAsia" w:ascii="宋体" w:hAnsi="宋体" w:cs="宋体"/>
          <w:bCs/>
          <w:lang w:val="zh-CN"/>
        </w:rPr>
        <w:fldChar w:fldCharType="separate"/>
      </w:r>
      <w:r>
        <w:rPr>
          <w:rFonts w:hint="default" w:ascii="Arial" w:hAnsi="Arial" w:cs="Arial"/>
          <w:snapToGrid w:val="0"/>
          <w:kern w:val="0"/>
          <w:szCs w:val="24"/>
        </w:rPr>
        <w:t xml:space="preserve">3.5.2. </w:t>
      </w:r>
      <w:r>
        <w:rPr>
          <w:rFonts w:hint="eastAsia" w:ascii="宋体" w:hAnsi="宋体" w:cs="宋体"/>
          <w:snapToGrid w:val="0"/>
          <w:kern w:val="0"/>
          <w:szCs w:val="24"/>
        </w:rPr>
        <w:t>业务规则</w:t>
      </w:r>
      <w:r>
        <w:tab/>
      </w:r>
      <w:r>
        <w:fldChar w:fldCharType="begin"/>
      </w:r>
      <w:r>
        <w:instrText xml:space="preserve"> PAGEREF _Toc19683 \h </w:instrText>
      </w:r>
      <w:r>
        <w:fldChar w:fldCharType="separate"/>
      </w:r>
      <w:r>
        <w:t>9</w:t>
      </w:r>
      <w:r>
        <w:fldChar w:fldCharType="end"/>
      </w:r>
      <w:r>
        <w:rPr>
          <w:rFonts w:hint="eastAsia" w:ascii="宋体" w:hAnsi="宋体" w:cs="宋体"/>
          <w:bCs/>
          <w:lang w:val="zh-CN"/>
        </w:rPr>
        <w:fldChar w:fldCharType="end"/>
      </w:r>
    </w:p>
    <w:p w14:paraId="798F5322">
      <w:pPr>
        <w:pStyle w:val="10"/>
        <w:tabs>
          <w:tab w:val="right" w:leader="dot" w:pos="8306"/>
        </w:tabs>
      </w:pPr>
      <w:r>
        <w:rPr>
          <w:rFonts w:hint="eastAsia" w:ascii="宋体" w:hAnsi="宋体" w:cs="宋体"/>
          <w:bCs/>
          <w:lang w:val="zh-CN"/>
        </w:rPr>
        <w:fldChar w:fldCharType="begin"/>
      </w:r>
      <w:r>
        <w:rPr>
          <w:rFonts w:hint="eastAsia" w:ascii="宋体" w:hAnsi="宋体" w:cs="宋体"/>
          <w:bCs/>
          <w:lang w:val="zh-CN"/>
        </w:rPr>
        <w:instrText xml:space="preserve"> HYPERLINK \l _Toc22656 </w:instrText>
      </w:r>
      <w:r>
        <w:rPr>
          <w:rFonts w:hint="eastAsia" w:ascii="宋体" w:hAnsi="宋体" w:cs="宋体"/>
          <w:bCs/>
          <w:lang w:val="zh-CN"/>
        </w:rPr>
        <w:fldChar w:fldCharType="separate"/>
      </w:r>
      <w:r>
        <w:rPr>
          <w:rFonts w:hint="default" w:ascii="Arial" w:hAnsi="Arial" w:eastAsia="宋体" w:cs="Arial"/>
          <w:snapToGrid w:val="0"/>
          <w:kern w:val="0"/>
        </w:rPr>
        <w:t xml:space="preserve">3.6. </w:t>
      </w:r>
      <w:r>
        <w:rPr>
          <w:rFonts w:hint="eastAsia" w:ascii="宋体" w:hAnsi="宋体" w:eastAsia="宋体" w:cs="宋体"/>
          <w:snapToGrid w:val="0"/>
          <w:kern w:val="0"/>
        </w:rPr>
        <w:t>用例</w:t>
      </w:r>
      <w:r>
        <w:rPr>
          <w:rFonts w:hint="eastAsia" w:ascii="宋体" w:hAnsi="宋体" w:eastAsia="宋体" w:cs="宋体"/>
          <w:snapToGrid w:val="0"/>
          <w:kern w:val="0"/>
          <w:lang w:val="en-US" w:eastAsia="zh-CN"/>
        </w:rPr>
        <w:t>6</w:t>
      </w:r>
      <w:r>
        <w:rPr>
          <w:rFonts w:hint="eastAsia" w:ascii="宋体" w:hAnsi="宋体" w:eastAsia="宋体" w:cs="宋体"/>
          <w:snapToGrid w:val="0"/>
          <w:kern w:val="0"/>
        </w:rPr>
        <w:t xml:space="preserve"> </w:t>
      </w:r>
      <w:r>
        <w:rPr>
          <w:rFonts w:hint="eastAsia" w:ascii="宋体" w:hAnsi="宋体" w:eastAsia="宋体" w:cs="宋体"/>
          <w:snapToGrid w:val="0"/>
          <w:kern w:val="0"/>
          <w:lang w:val="en-US" w:eastAsia="zh-CN"/>
        </w:rPr>
        <w:t>财产险理赔系统</w:t>
      </w:r>
      <w:r>
        <w:tab/>
      </w:r>
      <w:r>
        <w:fldChar w:fldCharType="begin"/>
      </w:r>
      <w:r>
        <w:instrText xml:space="preserve"> PAGEREF _Toc22656 \h </w:instrText>
      </w:r>
      <w:r>
        <w:fldChar w:fldCharType="separate"/>
      </w:r>
      <w:r>
        <w:t>10</w:t>
      </w:r>
      <w:r>
        <w:fldChar w:fldCharType="end"/>
      </w:r>
      <w:r>
        <w:rPr>
          <w:rFonts w:hint="eastAsia" w:ascii="宋体" w:hAnsi="宋体" w:cs="宋体"/>
          <w:bCs/>
          <w:lang w:val="zh-CN"/>
        </w:rPr>
        <w:fldChar w:fldCharType="end"/>
      </w:r>
    </w:p>
    <w:p w14:paraId="7DBB36A1">
      <w:pPr>
        <w:pStyle w:val="6"/>
        <w:tabs>
          <w:tab w:val="right" w:leader="dot" w:pos="8306"/>
        </w:tabs>
      </w:pPr>
      <w:r>
        <w:rPr>
          <w:rFonts w:hint="eastAsia" w:ascii="宋体" w:hAnsi="宋体" w:cs="宋体"/>
          <w:bCs/>
          <w:lang w:val="zh-CN"/>
        </w:rPr>
        <w:fldChar w:fldCharType="begin"/>
      </w:r>
      <w:r>
        <w:rPr>
          <w:rFonts w:hint="eastAsia" w:ascii="宋体" w:hAnsi="宋体" w:cs="宋体"/>
          <w:bCs/>
          <w:lang w:val="zh-CN"/>
        </w:rPr>
        <w:instrText xml:space="preserve"> HYPERLINK \l _Toc15250 </w:instrText>
      </w:r>
      <w:r>
        <w:rPr>
          <w:rFonts w:hint="eastAsia" w:ascii="宋体" w:hAnsi="宋体" w:cs="宋体"/>
          <w:bCs/>
          <w:lang w:val="zh-CN"/>
        </w:rPr>
        <w:fldChar w:fldCharType="separate"/>
      </w:r>
      <w:r>
        <w:rPr>
          <w:rFonts w:hint="default" w:ascii="Arial" w:hAnsi="Arial" w:cs="Arial"/>
          <w:snapToGrid w:val="0"/>
          <w:kern w:val="0"/>
          <w:szCs w:val="24"/>
        </w:rPr>
        <w:t xml:space="preserve">3.6.1. </w:t>
      </w:r>
      <w:r>
        <w:rPr>
          <w:rFonts w:hint="eastAsia" w:ascii="宋体" w:hAnsi="宋体" w:cs="宋体"/>
          <w:snapToGrid w:val="0"/>
          <w:kern w:val="0"/>
          <w:szCs w:val="24"/>
        </w:rPr>
        <w:t>功能描述</w:t>
      </w:r>
      <w:r>
        <w:tab/>
      </w:r>
      <w:r>
        <w:fldChar w:fldCharType="begin"/>
      </w:r>
      <w:r>
        <w:instrText xml:space="preserve"> PAGEREF _Toc15250 \h </w:instrText>
      </w:r>
      <w:r>
        <w:fldChar w:fldCharType="separate"/>
      </w:r>
      <w:r>
        <w:t>10</w:t>
      </w:r>
      <w:r>
        <w:fldChar w:fldCharType="end"/>
      </w:r>
      <w:r>
        <w:rPr>
          <w:rFonts w:hint="eastAsia" w:ascii="宋体" w:hAnsi="宋体" w:cs="宋体"/>
          <w:bCs/>
          <w:lang w:val="zh-CN"/>
        </w:rPr>
        <w:fldChar w:fldCharType="end"/>
      </w:r>
    </w:p>
    <w:p w14:paraId="2BBC9EE2">
      <w:pPr>
        <w:pStyle w:val="10"/>
        <w:tabs>
          <w:tab w:val="right" w:leader="dot" w:pos="8306"/>
        </w:tabs>
      </w:pPr>
      <w:r>
        <w:rPr>
          <w:rFonts w:hint="eastAsia" w:ascii="宋体" w:hAnsi="宋体" w:cs="宋体"/>
          <w:bCs/>
          <w:lang w:val="zh-CN"/>
        </w:rPr>
        <w:fldChar w:fldCharType="begin"/>
      </w:r>
      <w:r>
        <w:rPr>
          <w:rFonts w:hint="eastAsia" w:ascii="宋体" w:hAnsi="宋体" w:cs="宋体"/>
          <w:bCs/>
          <w:lang w:val="zh-CN"/>
        </w:rPr>
        <w:instrText xml:space="preserve"> HYPERLINK \l _Toc23759 </w:instrText>
      </w:r>
      <w:r>
        <w:rPr>
          <w:rFonts w:hint="eastAsia" w:ascii="宋体" w:hAnsi="宋体" w:cs="宋体"/>
          <w:bCs/>
          <w:lang w:val="zh-CN"/>
        </w:rPr>
        <w:fldChar w:fldCharType="separate"/>
      </w:r>
      <w:r>
        <w:rPr>
          <w:rFonts w:hint="default" w:ascii="Arial" w:hAnsi="Arial" w:eastAsia="宋体" w:cs="Arial"/>
          <w:snapToGrid w:val="0"/>
          <w:kern w:val="0"/>
        </w:rPr>
        <w:t xml:space="preserve">3.7. </w:t>
      </w:r>
      <w:r>
        <w:rPr>
          <w:rFonts w:hint="eastAsia" w:ascii="宋体" w:hAnsi="宋体" w:eastAsia="宋体" w:cs="宋体"/>
          <w:snapToGrid w:val="0"/>
          <w:kern w:val="0"/>
        </w:rPr>
        <w:t>用例</w:t>
      </w:r>
      <w:r>
        <w:rPr>
          <w:rFonts w:hint="eastAsia" w:ascii="宋体" w:hAnsi="宋体" w:eastAsia="宋体" w:cs="宋体"/>
          <w:snapToGrid w:val="0"/>
          <w:kern w:val="0"/>
          <w:lang w:val="en-US" w:eastAsia="zh-CN"/>
        </w:rPr>
        <w:t>7</w:t>
      </w:r>
      <w:r>
        <w:rPr>
          <w:rFonts w:hint="eastAsia" w:ascii="宋体" w:hAnsi="宋体" w:eastAsia="宋体" w:cs="宋体"/>
          <w:snapToGrid w:val="0"/>
          <w:kern w:val="0"/>
        </w:rPr>
        <w:t xml:space="preserve"> </w:t>
      </w:r>
      <w:r>
        <w:rPr>
          <w:rFonts w:hint="eastAsia" w:ascii="宋体" w:hAnsi="宋体" w:eastAsia="宋体" w:cs="宋体"/>
          <w:snapToGrid w:val="0"/>
          <w:kern w:val="0"/>
          <w:lang w:val="en-US" w:eastAsia="zh-CN"/>
        </w:rPr>
        <w:t>全媒体客服系统CC</w:t>
      </w:r>
      <w:r>
        <w:tab/>
      </w:r>
      <w:r>
        <w:fldChar w:fldCharType="begin"/>
      </w:r>
      <w:r>
        <w:instrText xml:space="preserve"> PAGEREF _Toc23759 \h </w:instrText>
      </w:r>
      <w:r>
        <w:fldChar w:fldCharType="separate"/>
      </w:r>
      <w:r>
        <w:t>10</w:t>
      </w:r>
      <w:r>
        <w:fldChar w:fldCharType="end"/>
      </w:r>
      <w:r>
        <w:rPr>
          <w:rFonts w:hint="eastAsia" w:ascii="宋体" w:hAnsi="宋体" w:cs="宋体"/>
          <w:bCs/>
          <w:lang w:val="zh-CN"/>
        </w:rPr>
        <w:fldChar w:fldCharType="end"/>
      </w:r>
    </w:p>
    <w:p w14:paraId="7E7DCD5E">
      <w:pPr>
        <w:pStyle w:val="6"/>
        <w:tabs>
          <w:tab w:val="right" w:leader="dot" w:pos="8306"/>
        </w:tabs>
      </w:pPr>
      <w:r>
        <w:rPr>
          <w:rFonts w:hint="eastAsia" w:ascii="宋体" w:hAnsi="宋体" w:cs="宋体"/>
          <w:bCs/>
          <w:lang w:val="zh-CN"/>
        </w:rPr>
        <w:fldChar w:fldCharType="begin"/>
      </w:r>
      <w:r>
        <w:rPr>
          <w:rFonts w:hint="eastAsia" w:ascii="宋体" w:hAnsi="宋体" w:cs="宋体"/>
          <w:bCs/>
          <w:lang w:val="zh-CN"/>
        </w:rPr>
        <w:instrText xml:space="preserve"> HYPERLINK \l _Toc17708 </w:instrText>
      </w:r>
      <w:r>
        <w:rPr>
          <w:rFonts w:hint="eastAsia" w:ascii="宋体" w:hAnsi="宋体" w:cs="宋体"/>
          <w:bCs/>
          <w:lang w:val="zh-CN"/>
        </w:rPr>
        <w:fldChar w:fldCharType="separate"/>
      </w:r>
      <w:r>
        <w:rPr>
          <w:rFonts w:hint="default" w:ascii="Arial" w:hAnsi="Arial" w:cs="Arial"/>
          <w:snapToGrid w:val="0"/>
          <w:kern w:val="0"/>
          <w:szCs w:val="24"/>
        </w:rPr>
        <w:t xml:space="preserve">3.7.1. </w:t>
      </w:r>
      <w:r>
        <w:rPr>
          <w:rFonts w:hint="eastAsia" w:ascii="宋体" w:hAnsi="宋体" w:cs="宋体"/>
          <w:snapToGrid w:val="0"/>
          <w:kern w:val="0"/>
          <w:szCs w:val="24"/>
        </w:rPr>
        <w:t>功能描述</w:t>
      </w:r>
      <w:r>
        <w:tab/>
      </w:r>
      <w:r>
        <w:fldChar w:fldCharType="begin"/>
      </w:r>
      <w:r>
        <w:instrText xml:space="preserve"> PAGEREF _Toc17708 \h </w:instrText>
      </w:r>
      <w:r>
        <w:fldChar w:fldCharType="separate"/>
      </w:r>
      <w:r>
        <w:t>10</w:t>
      </w:r>
      <w:r>
        <w:fldChar w:fldCharType="end"/>
      </w:r>
      <w:r>
        <w:rPr>
          <w:rFonts w:hint="eastAsia" w:ascii="宋体" w:hAnsi="宋体" w:cs="宋体"/>
          <w:bCs/>
          <w:lang w:val="zh-CN"/>
        </w:rPr>
        <w:fldChar w:fldCharType="end"/>
      </w:r>
    </w:p>
    <w:p w14:paraId="5BABCF4C">
      <w:pPr>
        <w:pStyle w:val="6"/>
        <w:tabs>
          <w:tab w:val="right" w:leader="dot" w:pos="8306"/>
        </w:tabs>
      </w:pPr>
      <w:r>
        <w:rPr>
          <w:rFonts w:hint="eastAsia" w:ascii="宋体" w:hAnsi="宋体" w:cs="宋体"/>
          <w:bCs/>
          <w:lang w:val="zh-CN"/>
        </w:rPr>
        <w:fldChar w:fldCharType="begin"/>
      </w:r>
      <w:r>
        <w:rPr>
          <w:rFonts w:hint="eastAsia" w:ascii="宋体" w:hAnsi="宋体" w:cs="宋体"/>
          <w:bCs/>
          <w:lang w:val="zh-CN"/>
        </w:rPr>
        <w:instrText xml:space="preserve"> HYPERLINK \l _Toc25993 </w:instrText>
      </w:r>
      <w:r>
        <w:rPr>
          <w:rFonts w:hint="eastAsia" w:ascii="宋体" w:hAnsi="宋体" w:cs="宋体"/>
          <w:bCs/>
          <w:lang w:val="zh-CN"/>
        </w:rPr>
        <w:fldChar w:fldCharType="separate"/>
      </w:r>
      <w:r>
        <w:rPr>
          <w:rFonts w:hint="default" w:ascii="Arial" w:hAnsi="Arial" w:cs="Arial"/>
        </w:rPr>
        <w:t xml:space="preserve">3.7.2. </w:t>
      </w:r>
      <w:r>
        <w:rPr>
          <w:rFonts w:hint="eastAsia" w:ascii="宋体" w:hAnsi="宋体" w:cs="宋体"/>
          <w:snapToGrid w:val="0"/>
          <w:kern w:val="0"/>
          <w:szCs w:val="24"/>
        </w:rPr>
        <w:t>业务规则</w:t>
      </w:r>
      <w:r>
        <w:tab/>
      </w:r>
      <w:r>
        <w:fldChar w:fldCharType="begin"/>
      </w:r>
      <w:r>
        <w:instrText xml:space="preserve"> PAGEREF _Toc25993 \h </w:instrText>
      </w:r>
      <w:r>
        <w:fldChar w:fldCharType="separate"/>
      </w:r>
      <w:r>
        <w:t>11</w:t>
      </w:r>
      <w:r>
        <w:fldChar w:fldCharType="end"/>
      </w:r>
      <w:r>
        <w:rPr>
          <w:rFonts w:hint="eastAsia" w:ascii="宋体" w:hAnsi="宋体" w:cs="宋体"/>
          <w:bCs/>
          <w:lang w:val="zh-CN"/>
        </w:rPr>
        <w:fldChar w:fldCharType="end"/>
      </w:r>
    </w:p>
    <w:p w14:paraId="4F6E9E00">
      <w:pPr>
        <w:pStyle w:val="10"/>
        <w:tabs>
          <w:tab w:val="right" w:leader="dot" w:pos="8306"/>
        </w:tabs>
      </w:pPr>
      <w:r>
        <w:rPr>
          <w:rFonts w:hint="eastAsia" w:ascii="宋体" w:hAnsi="宋体" w:cs="宋体"/>
          <w:bCs/>
          <w:lang w:val="zh-CN"/>
        </w:rPr>
        <w:fldChar w:fldCharType="begin"/>
      </w:r>
      <w:r>
        <w:rPr>
          <w:rFonts w:hint="eastAsia" w:ascii="宋体" w:hAnsi="宋体" w:cs="宋体"/>
          <w:bCs/>
          <w:lang w:val="zh-CN"/>
        </w:rPr>
        <w:instrText xml:space="preserve"> HYPERLINK \l _Toc32516 </w:instrText>
      </w:r>
      <w:r>
        <w:rPr>
          <w:rFonts w:hint="eastAsia" w:ascii="宋体" w:hAnsi="宋体" w:cs="宋体"/>
          <w:bCs/>
          <w:lang w:val="zh-CN"/>
        </w:rPr>
        <w:fldChar w:fldCharType="separate"/>
      </w:r>
      <w:r>
        <w:rPr>
          <w:rFonts w:hint="default" w:ascii="Arial" w:hAnsi="Arial" w:eastAsia="宋体" w:cs="Arial"/>
          <w:snapToGrid w:val="0"/>
          <w:kern w:val="0"/>
        </w:rPr>
        <w:t xml:space="preserve">3.8. </w:t>
      </w:r>
      <w:r>
        <w:rPr>
          <w:rFonts w:hint="eastAsia" w:ascii="宋体" w:hAnsi="宋体" w:eastAsia="宋体" w:cs="宋体"/>
          <w:snapToGrid w:val="0"/>
          <w:kern w:val="0"/>
        </w:rPr>
        <w:t>与外部系统接口</w:t>
      </w:r>
      <w:r>
        <w:tab/>
      </w:r>
      <w:r>
        <w:fldChar w:fldCharType="begin"/>
      </w:r>
      <w:r>
        <w:instrText xml:space="preserve"> PAGEREF _Toc32516 \h </w:instrText>
      </w:r>
      <w:r>
        <w:fldChar w:fldCharType="separate"/>
      </w:r>
      <w:r>
        <w:t>11</w:t>
      </w:r>
      <w:r>
        <w:fldChar w:fldCharType="end"/>
      </w:r>
      <w:r>
        <w:rPr>
          <w:rFonts w:hint="eastAsia" w:ascii="宋体" w:hAnsi="宋体" w:cs="宋体"/>
          <w:bCs/>
          <w:lang w:val="zh-CN"/>
        </w:rPr>
        <w:fldChar w:fldCharType="end"/>
      </w:r>
    </w:p>
    <w:p w14:paraId="07AFCB7E">
      <w:pPr>
        <w:pStyle w:val="10"/>
        <w:tabs>
          <w:tab w:val="right" w:leader="dot" w:pos="8306"/>
        </w:tabs>
      </w:pPr>
      <w:r>
        <w:rPr>
          <w:rFonts w:hint="eastAsia" w:ascii="宋体" w:hAnsi="宋体" w:cs="宋体"/>
          <w:bCs/>
          <w:lang w:val="zh-CN"/>
        </w:rPr>
        <w:fldChar w:fldCharType="begin"/>
      </w:r>
      <w:r>
        <w:rPr>
          <w:rFonts w:hint="eastAsia" w:ascii="宋体" w:hAnsi="宋体" w:cs="宋体"/>
          <w:bCs/>
          <w:lang w:val="zh-CN"/>
        </w:rPr>
        <w:instrText xml:space="preserve"> HYPERLINK \l _Toc28174 </w:instrText>
      </w:r>
      <w:r>
        <w:rPr>
          <w:rFonts w:hint="eastAsia" w:ascii="宋体" w:hAnsi="宋体" w:cs="宋体"/>
          <w:bCs/>
          <w:lang w:val="zh-CN"/>
        </w:rPr>
        <w:fldChar w:fldCharType="separate"/>
      </w:r>
      <w:r>
        <w:rPr>
          <w:rFonts w:hint="default" w:ascii="Arial" w:hAnsi="Arial" w:eastAsia="宋体" w:cs="Arial"/>
          <w:snapToGrid w:val="0"/>
          <w:kern w:val="0"/>
        </w:rPr>
        <w:t xml:space="preserve">3.9. </w:t>
      </w:r>
      <w:r>
        <w:rPr>
          <w:rFonts w:hint="eastAsia" w:ascii="宋体" w:hAnsi="宋体" w:eastAsia="宋体" w:cs="宋体"/>
          <w:snapToGrid w:val="0"/>
          <w:kern w:val="0"/>
        </w:rPr>
        <w:t>关联需求</w:t>
      </w:r>
      <w:r>
        <w:tab/>
      </w:r>
      <w:r>
        <w:fldChar w:fldCharType="begin"/>
      </w:r>
      <w:r>
        <w:instrText xml:space="preserve"> PAGEREF _Toc28174 \h </w:instrText>
      </w:r>
      <w:r>
        <w:fldChar w:fldCharType="separate"/>
      </w:r>
      <w:r>
        <w:t>11</w:t>
      </w:r>
      <w:r>
        <w:fldChar w:fldCharType="end"/>
      </w:r>
      <w:r>
        <w:rPr>
          <w:rFonts w:hint="eastAsia" w:ascii="宋体" w:hAnsi="宋体" w:cs="宋体"/>
          <w:bCs/>
          <w:lang w:val="zh-CN"/>
        </w:rPr>
        <w:fldChar w:fldCharType="end"/>
      </w:r>
    </w:p>
    <w:p w14:paraId="7DE33D22">
      <w:pPr>
        <w:pStyle w:val="10"/>
        <w:tabs>
          <w:tab w:val="right" w:leader="dot" w:pos="8306"/>
        </w:tabs>
      </w:pPr>
      <w:r>
        <w:rPr>
          <w:rFonts w:hint="eastAsia" w:ascii="宋体" w:hAnsi="宋体" w:cs="宋体"/>
          <w:bCs/>
          <w:lang w:val="zh-CN"/>
        </w:rPr>
        <w:fldChar w:fldCharType="begin"/>
      </w:r>
      <w:r>
        <w:rPr>
          <w:rFonts w:hint="eastAsia" w:ascii="宋体" w:hAnsi="宋体" w:cs="宋体"/>
          <w:bCs/>
          <w:lang w:val="zh-CN"/>
        </w:rPr>
        <w:instrText xml:space="preserve"> HYPERLINK \l _Toc11498 </w:instrText>
      </w:r>
      <w:r>
        <w:rPr>
          <w:rFonts w:hint="eastAsia" w:ascii="宋体" w:hAnsi="宋体" w:cs="宋体"/>
          <w:bCs/>
          <w:lang w:val="zh-CN"/>
        </w:rPr>
        <w:fldChar w:fldCharType="separate"/>
      </w:r>
      <w:r>
        <w:rPr>
          <w:rFonts w:hint="default" w:ascii="Arial" w:hAnsi="Arial" w:eastAsia="宋体" w:cs="Arial"/>
          <w:snapToGrid w:val="0"/>
          <w:kern w:val="0"/>
        </w:rPr>
        <w:t xml:space="preserve">3.10. </w:t>
      </w:r>
      <w:r>
        <w:rPr>
          <w:rFonts w:hint="eastAsia" w:ascii="宋体" w:hAnsi="宋体" w:eastAsia="宋体" w:cs="宋体"/>
          <w:snapToGrid w:val="0"/>
          <w:kern w:val="0"/>
        </w:rPr>
        <w:t>历史数据处理</w:t>
      </w:r>
      <w:r>
        <w:tab/>
      </w:r>
      <w:r>
        <w:fldChar w:fldCharType="begin"/>
      </w:r>
      <w:r>
        <w:instrText xml:space="preserve"> PAGEREF _Toc11498 \h </w:instrText>
      </w:r>
      <w:r>
        <w:fldChar w:fldCharType="separate"/>
      </w:r>
      <w:r>
        <w:t>11</w:t>
      </w:r>
      <w:r>
        <w:fldChar w:fldCharType="end"/>
      </w:r>
      <w:r>
        <w:rPr>
          <w:rFonts w:hint="eastAsia" w:ascii="宋体" w:hAnsi="宋体" w:cs="宋体"/>
          <w:bCs/>
          <w:lang w:val="zh-CN"/>
        </w:rPr>
        <w:fldChar w:fldCharType="end"/>
      </w:r>
    </w:p>
    <w:p w14:paraId="6B9A4CC4">
      <w:pPr>
        <w:pStyle w:val="10"/>
        <w:tabs>
          <w:tab w:val="right" w:leader="dot" w:pos="8306"/>
        </w:tabs>
      </w:pPr>
      <w:r>
        <w:rPr>
          <w:rFonts w:hint="eastAsia" w:ascii="宋体" w:hAnsi="宋体" w:cs="宋体"/>
          <w:bCs/>
          <w:lang w:val="zh-CN"/>
        </w:rPr>
        <w:fldChar w:fldCharType="begin"/>
      </w:r>
      <w:r>
        <w:rPr>
          <w:rFonts w:hint="eastAsia" w:ascii="宋体" w:hAnsi="宋体" w:cs="宋体"/>
          <w:bCs/>
          <w:lang w:val="zh-CN"/>
        </w:rPr>
        <w:instrText xml:space="preserve"> HYPERLINK \l _Toc20763 </w:instrText>
      </w:r>
      <w:r>
        <w:rPr>
          <w:rFonts w:hint="eastAsia" w:ascii="宋体" w:hAnsi="宋体" w:cs="宋体"/>
          <w:bCs/>
          <w:lang w:val="zh-CN"/>
        </w:rPr>
        <w:fldChar w:fldCharType="separate"/>
      </w:r>
      <w:r>
        <w:rPr>
          <w:rFonts w:hint="default" w:ascii="Arial" w:hAnsi="Arial" w:eastAsia="宋体" w:cs="Arial"/>
          <w:snapToGrid w:val="0"/>
          <w:kern w:val="0"/>
        </w:rPr>
        <w:t xml:space="preserve">3.11. </w:t>
      </w:r>
      <w:r>
        <w:rPr>
          <w:rFonts w:hint="eastAsia" w:ascii="宋体" w:hAnsi="宋体" w:eastAsia="宋体" w:cs="宋体"/>
          <w:snapToGrid w:val="0"/>
          <w:kern w:val="0"/>
        </w:rPr>
        <w:t>相关附件</w:t>
      </w:r>
      <w:r>
        <w:tab/>
      </w:r>
      <w:r>
        <w:fldChar w:fldCharType="begin"/>
      </w:r>
      <w:r>
        <w:instrText xml:space="preserve"> PAGEREF _Toc20763 \h </w:instrText>
      </w:r>
      <w:r>
        <w:fldChar w:fldCharType="separate"/>
      </w:r>
      <w:r>
        <w:t>11</w:t>
      </w:r>
      <w:r>
        <w:fldChar w:fldCharType="end"/>
      </w:r>
      <w:r>
        <w:rPr>
          <w:rFonts w:hint="eastAsia" w:ascii="宋体" w:hAnsi="宋体" w:cs="宋体"/>
          <w:bCs/>
          <w:lang w:val="zh-CN"/>
        </w:rPr>
        <w:fldChar w:fldCharType="end"/>
      </w:r>
    </w:p>
    <w:p w14:paraId="105933FE">
      <w:pPr>
        <w:pStyle w:val="9"/>
        <w:tabs>
          <w:tab w:val="right" w:leader="dot" w:pos="8306"/>
        </w:tabs>
      </w:pPr>
      <w:r>
        <w:rPr>
          <w:rFonts w:hint="eastAsia" w:ascii="宋体" w:hAnsi="宋体" w:cs="宋体"/>
          <w:bCs/>
          <w:lang w:val="zh-CN"/>
        </w:rPr>
        <w:fldChar w:fldCharType="begin"/>
      </w:r>
      <w:r>
        <w:rPr>
          <w:rFonts w:hint="eastAsia" w:ascii="宋体" w:hAnsi="宋体" w:cs="宋体"/>
          <w:bCs/>
          <w:lang w:val="zh-CN"/>
        </w:rPr>
        <w:instrText xml:space="preserve"> HYPERLINK \l _Toc29740 </w:instrText>
      </w:r>
      <w:r>
        <w:rPr>
          <w:rFonts w:hint="eastAsia" w:ascii="宋体" w:hAnsi="宋体" w:cs="宋体"/>
          <w:bCs/>
          <w:lang w:val="zh-CN"/>
        </w:rPr>
        <w:fldChar w:fldCharType="separate"/>
      </w:r>
      <w:r>
        <w:rPr>
          <w:rFonts w:hint="default" w:ascii="Arial" w:hAnsi="Arial" w:eastAsia="宋体" w:cs="Arial"/>
        </w:rPr>
        <w:t xml:space="preserve">4. </w:t>
      </w:r>
      <w:r>
        <w:rPr>
          <w:rFonts w:hint="eastAsia" w:ascii="宋体" w:hAnsi="宋体" w:eastAsia="宋体" w:cs="宋体"/>
        </w:rPr>
        <w:t>非功能性需求</w:t>
      </w:r>
      <w:r>
        <w:tab/>
      </w:r>
      <w:r>
        <w:fldChar w:fldCharType="begin"/>
      </w:r>
      <w:r>
        <w:instrText xml:space="preserve"> PAGEREF _Toc29740 \h </w:instrText>
      </w:r>
      <w:r>
        <w:fldChar w:fldCharType="separate"/>
      </w:r>
      <w:r>
        <w:t>11</w:t>
      </w:r>
      <w:r>
        <w:fldChar w:fldCharType="end"/>
      </w:r>
      <w:r>
        <w:rPr>
          <w:rFonts w:hint="eastAsia" w:ascii="宋体" w:hAnsi="宋体" w:cs="宋体"/>
          <w:bCs/>
          <w:lang w:val="zh-CN"/>
        </w:rPr>
        <w:fldChar w:fldCharType="end"/>
      </w:r>
    </w:p>
    <w:p w14:paraId="4828C124">
      <w:pPr>
        <w:pStyle w:val="10"/>
        <w:tabs>
          <w:tab w:val="right" w:leader="dot" w:pos="8306"/>
        </w:tabs>
      </w:pPr>
      <w:r>
        <w:rPr>
          <w:rFonts w:hint="eastAsia" w:ascii="宋体" w:hAnsi="宋体" w:cs="宋体"/>
          <w:bCs/>
          <w:lang w:val="zh-CN"/>
        </w:rPr>
        <w:fldChar w:fldCharType="begin"/>
      </w:r>
      <w:r>
        <w:rPr>
          <w:rFonts w:hint="eastAsia" w:ascii="宋体" w:hAnsi="宋体" w:cs="宋体"/>
          <w:bCs/>
          <w:lang w:val="zh-CN"/>
        </w:rPr>
        <w:instrText xml:space="preserve"> HYPERLINK \l _Toc1594 </w:instrText>
      </w:r>
      <w:r>
        <w:rPr>
          <w:rFonts w:hint="eastAsia" w:ascii="宋体" w:hAnsi="宋体" w:cs="宋体"/>
          <w:bCs/>
          <w:lang w:val="zh-CN"/>
        </w:rPr>
        <w:fldChar w:fldCharType="separate"/>
      </w:r>
      <w:r>
        <w:rPr>
          <w:rFonts w:hint="default" w:ascii="Arial" w:hAnsi="Arial" w:eastAsia="宋体" w:cs="Arial"/>
          <w:snapToGrid w:val="0"/>
          <w:kern w:val="0"/>
          <w:szCs w:val="24"/>
        </w:rPr>
        <w:t xml:space="preserve">4.1. </w:t>
      </w:r>
      <w:r>
        <w:rPr>
          <w:rFonts w:hint="eastAsia" w:ascii="宋体" w:hAnsi="宋体" w:eastAsia="宋体" w:cs="宋体"/>
          <w:snapToGrid w:val="0"/>
          <w:kern w:val="0"/>
          <w:szCs w:val="24"/>
        </w:rPr>
        <w:t>安全性需求</w:t>
      </w:r>
      <w:r>
        <w:tab/>
      </w:r>
      <w:r>
        <w:fldChar w:fldCharType="begin"/>
      </w:r>
      <w:r>
        <w:instrText xml:space="preserve"> PAGEREF _Toc1594 \h </w:instrText>
      </w:r>
      <w:r>
        <w:fldChar w:fldCharType="separate"/>
      </w:r>
      <w:r>
        <w:t>11</w:t>
      </w:r>
      <w:r>
        <w:fldChar w:fldCharType="end"/>
      </w:r>
      <w:r>
        <w:rPr>
          <w:rFonts w:hint="eastAsia" w:ascii="宋体" w:hAnsi="宋体" w:cs="宋体"/>
          <w:bCs/>
          <w:lang w:val="zh-CN"/>
        </w:rPr>
        <w:fldChar w:fldCharType="end"/>
      </w:r>
    </w:p>
    <w:p w14:paraId="716F01EB">
      <w:pPr>
        <w:pStyle w:val="10"/>
        <w:tabs>
          <w:tab w:val="right" w:leader="dot" w:pos="8306"/>
        </w:tabs>
      </w:pPr>
      <w:r>
        <w:rPr>
          <w:rFonts w:hint="eastAsia" w:ascii="宋体" w:hAnsi="宋体" w:cs="宋体"/>
          <w:bCs/>
          <w:lang w:val="zh-CN"/>
        </w:rPr>
        <w:fldChar w:fldCharType="begin"/>
      </w:r>
      <w:r>
        <w:rPr>
          <w:rFonts w:hint="eastAsia" w:ascii="宋体" w:hAnsi="宋体" w:cs="宋体"/>
          <w:bCs/>
          <w:lang w:val="zh-CN"/>
        </w:rPr>
        <w:instrText xml:space="preserve"> HYPERLINK \l _Toc8124 </w:instrText>
      </w:r>
      <w:r>
        <w:rPr>
          <w:rFonts w:hint="eastAsia" w:ascii="宋体" w:hAnsi="宋体" w:cs="宋体"/>
          <w:bCs/>
          <w:lang w:val="zh-CN"/>
        </w:rPr>
        <w:fldChar w:fldCharType="separate"/>
      </w:r>
      <w:r>
        <w:rPr>
          <w:rFonts w:hint="default" w:ascii="Arial" w:hAnsi="Arial" w:eastAsia="宋体" w:cs="Arial"/>
          <w:snapToGrid w:val="0"/>
          <w:kern w:val="0"/>
          <w:szCs w:val="24"/>
        </w:rPr>
        <w:t xml:space="preserve">4.2. </w:t>
      </w:r>
      <w:r>
        <w:rPr>
          <w:rFonts w:hint="eastAsia" w:ascii="宋体" w:hAnsi="宋体" w:eastAsia="宋体" w:cs="宋体"/>
          <w:snapToGrid w:val="0"/>
          <w:kern w:val="0"/>
          <w:szCs w:val="24"/>
        </w:rPr>
        <w:t>其他非功能性需求</w:t>
      </w:r>
      <w:r>
        <w:tab/>
      </w:r>
      <w:r>
        <w:fldChar w:fldCharType="begin"/>
      </w:r>
      <w:r>
        <w:instrText xml:space="preserve"> PAGEREF _Toc8124 \h </w:instrText>
      </w:r>
      <w:r>
        <w:fldChar w:fldCharType="separate"/>
      </w:r>
      <w:r>
        <w:t>11</w:t>
      </w:r>
      <w:r>
        <w:fldChar w:fldCharType="end"/>
      </w:r>
      <w:r>
        <w:rPr>
          <w:rFonts w:hint="eastAsia" w:ascii="宋体" w:hAnsi="宋体" w:cs="宋体"/>
          <w:bCs/>
          <w:lang w:val="zh-CN"/>
        </w:rPr>
        <w:fldChar w:fldCharType="end"/>
      </w:r>
    </w:p>
    <w:p w14:paraId="5E9C24CC">
      <w:pPr>
        <w:rPr>
          <w:rFonts w:ascii="宋体" w:hAnsi="宋体" w:cs="宋体"/>
        </w:rPr>
      </w:pPr>
      <w:r>
        <w:rPr>
          <w:rFonts w:hint="eastAsia" w:ascii="宋体" w:hAnsi="宋体" w:cs="宋体"/>
          <w:bCs/>
          <w:lang w:val="zh-CN"/>
        </w:rPr>
        <w:fldChar w:fldCharType="end"/>
      </w:r>
    </w:p>
    <w:p w14:paraId="605F493D">
      <w:pPr>
        <w:widowControl/>
        <w:jc w:val="left"/>
        <w:rPr>
          <w:rFonts w:ascii="宋体" w:hAnsi="宋体" w:cs="宋体"/>
        </w:rPr>
      </w:pPr>
      <w:r>
        <w:rPr>
          <w:rFonts w:hint="eastAsia" w:ascii="宋体" w:hAnsi="宋体" w:cs="宋体"/>
        </w:rPr>
        <w:br w:type="page"/>
      </w:r>
    </w:p>
    <w:p w14:paraId="4BE94A91">
      <w:pPr>
        <w:pStyle w:val="2"/>
        <w:numPr>
          <w:ilvl w:val="0"/>
          <w:numId w:val="2"/>
        </w:numPr>
      </w:pPr>
      <w:bookmarkStart w:id="2" w:name="_Toc1619"/>
      <w:bookmarkStart w:id="3" w:name="_Toc374005698"/>
      <w:r>
        <w:rPr>
          <w:rFonts w:hint="eastAsia" w:ascii="宋体" w:hAnsi="宋体" w:eastAsia="宋体" w:cs="宋体"/>
        </w:rPr>
        <w:t>用户</w:t>
      </w:r>
      <w:bookmarkEnd w:id="2"/>
      <w:bookmarkEnd w:id="3"/>
    </w:p>
    <w:p w14:paraId="02BF8741">
      <w:pPr>
        <w:rPr>
          <w:rFonts w:hint="eastAsia"/>
          <w:lang w:val="en-US" w:eastAsia="zh-CN"/>
        </w:rPr>
      </w:pPr>
      <w:r>
        <w:rPr>
          <w:rFonts w:hint="eastAsia"/>
          <w:lang w:val="en-US" w:eastAsia="zh-CN"/>
        </w:rPr>
        <w:t>车、意健理赔系统</w:t>
      </w:r>
    </w:p>
    <w:p w14:paraId="2B43BAFB">
      <w:pPr>
        <w:rPr>
          <w:rFonts w:hint="eastAsia"/>
          <w:lang w:val="en-US" w:eastAsia="zh-CN"/>
        </w:rPr>
      </w:pPr>
      <w:r>
        <w:rPr>
          <w:rFonts w:hint="eastAsia"/>
          <w:lang w:val="en-US" w:eastAsia="zh-CN"/>
        </w:rPr>
        <w:t>财理赔系统、北极星北系统</w:t>
      </w:r>
    </w:p>
    <w:p w14:paraId="1B8E1F4C">
      <w:pPr>
        <w:rPr>
          <w:rFonts w:hint="eastAsia"/>
          <w:lang w:val="en-US" w:eastAsia="zh-CN"/>
        </w:rPr>
      </w:pPr>
      <w:r>
        <w:rPr>
          <w:rFonts w:hint="eastAsia"/>
          <w:lang w:val="en-US" w:eastAsia="zh-CN"/>
        </w:rPr>
        <w:t>线上理赔、移动理赔系统</w:t>
      </w:r>
    </w:p>
    <w:p w14:paraId="7CC52A7B">
      <w:pPr>
        <w:rPr>
          <w:rFonts w:hint="default"/>
          <w:lang w:val="en-US" w:eastAsia="zh-CN"/>
        </w:rPr>
      </w:pPr>
      <w:r>
        <w:rPr>
          <w:rFonts w:hint="eastAsia"/>
          <w:lang w:val="en-US" w:eastAsia="zh-CN"/>
        </w:rPr>
        <w:t>全媒体客服系统</w:t>
      </w:r>
    </w:p>
    <w:p w14:paraId="24CFADC2">
      <w:pPr>
        <w:pStyle w:val="2"/>
        <w:numPr>
          <w:ilvl w:val="0"/>
          <w:numId w:val="2"/>
        </w:numPr>
        <w:rPr>
          <w:rFonts w:ascii="宋体" w:hAnsi="宋体" w:eastAsia="宋体" w:cs="宋体"/>
        </w:rPr>
      </w:pPr>
      <w:bookmarkStart w:id="4" w:name="_Toc21867"/>
      <w:bookmarkStart w:id="5" w:name="_Toc374005699"/>
      <w:r>
        <w:rPr>
          <w:rFonts w:hint="eastAsia" w:ascii="宋体" w:hAnsi="宋体" w:eastAsia="宋体" w:cs="宋体"/>
        </w:rPr>
        <w:t>需求描述</w:t>
      </w:r>
      <w:bookmarkEnd w:id="4"/>
      <w:bookmarkEnd w:id="5"/>
    </w:p>
    <w:p w14:paraId="022D96D9">
      <w:pPr>
        <w:pStyle w:val="3"/>
        <w:rPr>
          <w:rFonts w:ascii="宋体" w:hAnsi="宋体" w:eastAsia="宋体" w:cs="宋体"/>
        </w:rPr>
      </w:pPr>
      <w:bookmarkStart w:id="6" w:name="_Toc374005700"/>
      <w:bookmarkStart w:id="7" w:name="_Toc30680"/>
      <w:r>
        <w:rPr>
          <w:rFonts w:hint="eastAsia" w:ascii="宋体" w:hAnsi="宋体" w:eastAsia="宋体" w:cs="宋体"/>
          <w:snapToGrid w:val="0"/>
          <w:kern w:val="0"/>
        </w:rPr>
        <w:t>需求</w:t>
      </w:r>
      <w:bookmarkEnd w:id="6"/>
      <w:r>
        <w:rPr>
          <w:rFonts w:hint="eastAsia" w:ascii="宋体" w:hAnsi="宋体" w:eastAsia="宋体" w:cs="宋体"/>
          <w:snapToGrid w:val="0"/>
          <w:kern w:val="0"/>
        </w:rPr>
        <w:t>背景</w:t>
      </w:r>
      <w:bookmarkEnd w:id="7"/>
    </w:p>
    <w:p w14:paraId="0A94CF75">
      <w:pPr>
        <w:ind w:firstLine="420"/>
      </w:pPr>
      <w:r>
        <w:rPr>
          <w:rFonts w:hint="default" w:ascii="仿宋" w:hAnsi="仿宋" w:eastAsia="仿宋" w:cs="Arial"/>
          <w:iCs/>
          <w:color w:val="000000" w:themeColor="text1"/>
          <w:kern w:val="0"/>
          <w:sz w:val="28"/>
          <w:szCs w:val="28"/>
          <w:lang w:val="en-US" w:eastAsia="zh-CN"/>
          <w14:textFill>
            <w14:solidFill>
              <w14:schemeClr w14:val="tx1"/>
            </w14:solidFill>
          </w14:textFill>
        </w:rPr>
        <w:t>为提升服务高度敏感客户（简称高敏客户）的服务体验，强化公司服务品牌形象，提升公司服务竞争力，本服务方案以 95590 服务热线为中枢，联动理赔与增值服务，为高敏客户提供服务高敏响应与流程高敏执行，确保优质服务体验</w:t>
      </w:r>
      <w:r>
        <w:rPr>
          <w:rFonts w:hint="eastAsia" w:ascii="仿宋" w:hAnsi="仿宋" w:eastAsia="仿宋" w:cs="Arial"/>
          <w:iCs/>
          <w:color w:val="000000" w:themeColor="text1"/>
          <w:kern w:val="0"/>
          <w:sz w:val="28"/>
          <w:szCs w:val="28"/>
          <w:lang w:val="en-US" w:eastAsia="zh-CN"/>
          <w14:textFill>
            <w14:solidFill>
              <w14:schemeClr w14:val="tx1"/>
            </w14:solidFill>
          </w14:textFill>
        </w:rPr>
        <w:t>。</w:t>
      </w:r>
    </w:p>
    <w:p w14:paraId="090237D7">
      <w:pPr>
        <w:pStyle w:val="3"/>
        <w:rPr>
          <w:rFonts w:ascii="宋体" w:hAnsi="宋体" w:eastAsia="宋体" w:cs="宋体"/>
          <w:snapToGrid w:val="0"/>
          <w:kern w:val="0"/>
        </w:rPr>
      </w:pPr>
      <w:bookmarkStart w:id="8" w:name="_Toc670"/>
      <w:bookmarkStart w:id="9" w:name="_Toc374005701"/>
      <w:r>
        <w:rPr>
          <w:rFonts w:hint="eastAsia" w:ascii="宋体" w:hAnsi="宋体" w:eastAsia="宋体" w:cs="宋体"/>
          <w:snapToGrid w:val="0"/>
          <w:kern w:val="0"/>
        </w:rPr>
        <w:t>业务需求</w:t>
      </w:r>
      <w:bookmarkEnd w:id="8"/>
      <w:bookmarkEnd w:id="9"/>
    </w:p>
    <w:p w14:paraId="2C6CC9A9">
      <w:pPr>
        <w:pStyle w:val="4"/>
        <w:rPr>
          <w:rFonts w:ascii="宋体" w:hAnsi="宋体" w:cs="宋体"/>
        </w:rPr>
      </w:pPr>
      <w:bookmarkStart w:id="10" w:name="_Toc26777"/>
      <w:r>
        <w:rPr>
          <w:rFonts w:hint="eastAsia" w:ascii="宋体" w:hAnsi="宋体" w:cs="宋体"/>
        </w:rPr>
        <w:t>业务原始需求（目标）</w:t>
      </w:r>
      <w:bookmarkEnd w:id="10"/>
    </w:p>
    <w:p w14:paraId="01F4C04D">
      <w:pPr>
        <w:spacing w:line="276" w:lineRule="auto"/>
        <w:ind w:firstLine="560" w:firstLineChars="200"/>
        <w:rPr>
          <w:rFonts w:hint="default" w:ascii="仿宋" w:hAnsi="仿宋" w:eastAsia="仿宋" w:cs="Arial"/>
          <w:iCs/>
          <w:color w:val="000000" w:themeColor="text1"/>
          <w:kern w:val="0"/>
          <w:sz w:val="28"/>
          <w:szCs w:val="28"/>
          <w:lang w:val="en-US" w:eastAsia="zh-CN"/>
          <w14:textFill>
            <w14:solidFill>
              <w14:schemeClr w14:val="tx1"/>
            </w14:solidFill>
          </w14:textFill>
        </w:rPr>
      </w:pPr>
      <w:r>
        <w:rPr>
          <w:rFonts w:hint="default" w:ascii="仿宋" w:hAnsi="仿宋" w:eastAsia="仿宋" w:cs="Arial"/>
          <w:iCs/>
          <w:color w:val="000000" w:themeColor="text1"/>
          <w:kern w:val="0"/>
          <w:sz w:val="28"/>
          <w:szCs w:val="28"/>
          <w:lang w:val="en-US" w:eastAsia="zh-CN"/>
          <w14:textFill>
            <w14:solidFill>
              <w14:schemeClr w14:val="tx1"/>
            </w14:solidFill>
          </w14:textFill>
        </w:rPr>
        <w:t>为高敏客户提供服务高敏响应与流程高敏执行，确保优质服务体验。对报案标识为高敏客户的车理赔赔案，在处理过程中</w:t>
      </w:r>
      <w:r>
        <w:rPr>
          <w:rFonts w:hint="eastAsia" w:ascii="仿宋" w:hAnsi="仿宋" w:eastAsia="仿宋" w:cs="Arial"/>
          <w:iCs/>
          <w:color w:val="000000" w:themeColor="text1"/>
          <w:kern w:val="0"/>
          <w:sz w:val="28"/>
          <w:szCs w:val="28"/>
          <w:lang w:val="en-US" w:eastAsia="zh-CN"/>
          <w14:textFill>
            <w14:solidFill>
              <w14:schemeClr w14:val="tx1"/>
            </w14:solidFill>
          </w14:textFill>
        </w:rPr>
        <w:t>，理赔</w:t>
      </w:r>
      <w:r>
        <w:rPr>
          <w:rFonts w:hint="default" w:ascii="仿宋" w:hAnsi="仿宋" w:eastAsia="仿宋" w:cs="Arial"/>
          <w:iCs/>
          <w:color w:val="000000" w:themeColor="text1"/>
          <w:kern w:val="0"/>
          <w:sz w:val="28"/>
          <w:szCs w:val="28"/>
          <w:lang w:val="en-US" w:eastAsia="zh-CN"/>
          <w14:textFill>
            <w14:solidFill>
              <w14:schemeClr w14:val="tx1"/>
            </w14:solidFill>
          </w14:textFill>
        </w:rPr>
        <w:t>系统增加醒目提示</w:t>
      </w:r>
      <w:r>
        <w:rPr>
          <w:rFonts w:hint="eastAsia" w:ascii="仿宋" w:hAnsi="仿宋" w:eastAsia="仿宋" w:cs="Arial"/>
          <w:iCs/>
          <w:color w:val="000000" w:themeColor="text1"/>
          <w:kern w:val="0"/>
          <w:sz w:val="28"/>
          <w:szCs w:val="28"/>
          <w:lang w:val="en-US" w:eastAsia="zh-CN"/>
          <w14:textFill>
            <w14:solidFill>
              <w14:schemeClr w14:val="tx1"/>
            </w14:solidFill>
          </w14:textFill>
        </w:rPr>
        <w:t>和</w:t>
      </w:r>
      <w:r>
        <w:rPr>
          <w:rFonts w:hint="default" w:ascii="仿宋" w:hAnsi="仿宋" w:eastAsia="仿宋" w:cs="Arial"/>
          <w:iCs/>
          <w:color w:val="000000" w:themeColor="text1"/>
          <w:kern w:val="0"/>
          <w:sz w:val="28"/>
          <w:szCs w:val="28"/>
          <w:lang w:val="en-US" w:eastAsia="zh-CN"/>
          <w14:textFill>
            <w14:solidFill>
              <w14:schemeClr w14:val="tx1"/>
            </w14:solidFill>
          </w14:textFill>
        </w:rPr>
        <w:t>标识，</w:t>
      </w:r>
      <w:r>
        <w:rPr>
          <w:rFonts w:hint="eastAsia" w:ascii="仿宋" w:hAnsi="仿宋" w:eastAsia="仿宋" w:cs="Arial"/>
          <w:iCs/>
          <w:color w:val="000000" w:themeColor="text1"/>
          <w:kern w:val="0"/>
          <w:sz w:val="28"/>
          <w:szCs w:val="28"/>
          <w:lang w:val="en-US" w:eastAsia="zh-CN"/>
          <w14:textFill>
            <w14:solidFill>
              <w14:schemeClr w14:val="tx1"/>
            </w14:solidFill>
          </w14:textFill>
        </w:rPr>
        <w:t>并将赔案信息通知到分公司理赔负责人。</w:t>
      </w:r>
    </w:p>
    <w:p w14:paraId="150A466F">
      <w:pPr>
        <w:ind w:firstLine="420"/>
        <w:rPr>
          <w:rFonts w:hint="default"/>
          <w:lang w:val="en-US" w:eastAsia="zh-CN"/>
        </w:rPr>
      </w:pPr>
    </w:p>
    <w:p w14:paraId="73B9DBB1">
      <w:pPr>
        <w:pStyle w:val="4"/>
        <w:rPr>
          <w:rFonts w:ascii="宋体" w:hAnsi="宋体" w:cs="宋体"/>
        </w:rPr>
      </w:pPr>
      <w:bookmarkStart w:id="11" w:name="_Toc20087"/>
      <w:r>
        <w:rPr>
          <w:rFonts w:hint="eastAsia" w:ascii="宋体" w:hAnsi="宋体" w:cs="宋体"/>
        </w:rPr>
        <w:t>交付要求</w:t>
      </w:r>
      <w:bookmarkEnd w:id="11"/>
    </w:p>
    <w:p w14:paraId="454BD8E8">
      <w:pPr>
        <w:ind w:firstLine="105" w:firstLineChars="50"/>
        <w:rPr>
          <w:rFonts w:ascii="宋体" w:hAnsi="宋体" w:cs="宋体"/>
        </w:rPr>
      </w:pPr>
      <w:r>
        <w:rPr>
          <w:rFonts w:hint="eastAsia" w:ascii="宋体" w:hAnsi="宋体" w:cs="宋体"/>
        </w:rPr>
        <w:t>是否需要验收： 需要</w:t>
      </w:r>
    </w:p>
    <w:p w14:paraId="5358C1F8">
      <w:pPr>
        <w:ind w:firstLine="105" w:firstLineChars="50"/>
        <w:rPr>
          <w:rFonts w:ascii="宋体" w:hAnsi="宋体" w:cs="宋体"/>
        </w:rPr>
      </w:pPr>
      <w:r>
        <w:rPr>
          <w:rFonts w:hint="eastAsia" w:ascii="宋体" w:hAnsi="宋体" w:cs="宋体"/>
        </w:rPr>
        <w:t>期望上线时间：</w:t>
      </w:r>
    </w:p>
    <w:p w14:paraId="68BF6213">
      <w:pPr>
        <w:ind w:firstLine="105" w:firstLineChars="50"/>
        <w:rPr>
          <w:rFonts w:hint="default" w:ascii="宋体" w:hAnsi="宋体" w:eastAsia="宋体" w:cs="宋体"/>
          <w:lang w:val="en-US" w:eastAsia="zh-CN"/>
        </w:rPr>
      </w:pPr>
      <w:r>
        <w:rPr>
          <w:rFonts w:hint="eastAsia"/>
        </w:rPr>
        <w:t>公告栏内容：</w:t>
      </w:r>
      <w:r>
        <w:rPr>
          <w:rFonts w:hint="eastAsia"/>
          <w:lang w:val="en-US" w:eastAsia="zh-CN"/>
        </w:rPr>
        <w:t>全险种理赔系统提升高敏客户服务体验需求上线</w:t>
      </w:r>
    </w:p>
    <w:p w14:paraId="209BEDE0">
      <w:pPr>
        <w:pStyle w:val="3"/>
        <w:rPr>
          <w:rFonts w:ascii="宋体" w:hAnsi="宋体" w:eastAsia="宋体" w:cs="宋体"/>
          <w:snapToGrid w:val="0"/>
          <w:kern w:val="0"/>
        </w:rPr>
      </w:pPr>
      <w:bookmarkStart w:id="12" w:name="_Toc374005702"/>
      <w:bookmarkStart w:id="13" w:name="_Toc5469"/>
      <w:r>
        <w:rPr>
          <w:rFonts w:hint="eastAsia" w:ascii="宋体" w:hAnsi="宋体" w:eastAsia="宋体" w:cs="宋体"/>
          <w:snapToGrid w:val="0"/>
          <w:kern w:val="0"/>
        </w:rPr>
        <w:t>业务流程</w:t>
      </w:r>
      <w:bookmarkEnd w:id="12"/>
      <w:bookmarkEnd w:id="13"/>
    </w:p>
    <w:p w14:paraId="02F6E9EC"/>
    <w:p w14:paraId="61E194AE">
      <w:pPr>
        <w:pStyle w:val="2"/>
        <w:numPr>
          <w:ilvl w:val="0"/>
          <w:numId w:val="2"/>
        </w:numPr>
        <w:rPr>
          <w:rFonts w:ascii="宋体" w:hAnsi="宋体" w:eastAsia="宋体" w:cs="宋体"/>
        </w:rPr>
      </w:pPr>
      <w:bookmarkStart w:id="14" w:name="_Toc374005703"/>
      <w:bookmarkStart w:id="15" w:name="_Toc22356"/>
      <w:r>
        <w:rPr>
          <w:rFonts w:hint="eastAsia" w:ascii="宋体" w:hAnsi="宋体" w:eastAsia="宋体" w:cs="宋体"/>
        </w:rPr>
        <w:t>功能性需求</w:t>
      </w:r>
      <w:bookmarkEnd w:id="14"/>
      <w:bookmarkEnd w:id="15"/>
    </w:p>
    <w:p w14:paraId="67D72C27">
      <w:pPr>
        <w:pStyle w:val="3"/>
        <w:rPr>
          <w:rFonts w:ascii="宋体" w:hAnsi="宋体" w:eastAsia="宋体" w:cs="宋体"/>
          <w:snapToGrid w:val="0"/>
          <w:kern w:val="0"/>
        </w:rPr>
      </w:pPr>
      <w:bookmarkStart w:id="16" w:name="_Toc3300"/>
      <w:r>
        <w:rPr>
          <w:rFonts w:hint="eastAsia" w:ascii="宋体" w:hAnsi="宋体" w:eastAsia="宋体" w:cs="宋体"/>
          <w:snapToGrid w:val="0"/>
          <w:kern w:val="0"/>
        </w:rPr>
        <w:t>用例</w:t>
      </w:r>
      <w:r>
        <w:rPr>
          <w:rFonts w:ascii="宋体" w:hAnsi="宋体" w:eastAsia="宋体" w:cs="宋体"/>
          <w:snapToGrid w:val="0"/>
          <w:kern w:val="0"/>
        </w:rPr>
        <w:t>1</w:t>
      </w:r>
      <w:r>
        <w:rPr>
          <w:rFonts w:hint="eastAsia" w:ascii="宋体" w:hAnsi="宋体" w:eastAsia="宋体" w:cs="宋体"/>
          <w:snapToGrid w:val="0"/>
          <w:kern w:val="0"/>
        </w:rPr>
        <w:t xml:space="preserve"> </w:t>
      </w:r>
      <w:r>
        <w:rPr>
          <w:rFonts w:hint="eastAsia" w:ascii="宋体" w:hAnsi="宋体" w:eastAsia="宋体" w:cs="宋体"/>
          <w:snapToGrid w:val="0"/>
          <w:kern w:val="0"/>
          <w:lang w:val="en-US" w:eastAsia="zh-CN"/>
        </w:rPr>
        <w:t>协同平台系统（北极星）</w:t>
      </w:r>
      <w:bookmarkEnd w:id="16"/>
    </w:p>
    <w:p w14:paraId="5ED35466">
      <w:pPr>
        <w:pStyle w:val="4"/>
        <w:rPr>
          <w:rFonts w:ascii="宋体" w:hAnsi="宋体" w:cs="宋体"/>
          <w:snapToGrid w:val="0"/>
          <w:kern w:val="0"/>
          <w:sz w:val="24"/>
          <w:szCs w:val="24"/>
        </w:rPr>
      </w:pPr>
      <w:bookmarkStart w:id="17" w:name="_Toc31624"/>
      <w:r>
        <w:rPr>
          <w:rFonts w:hint="eastAsia" w:ascii="宋体" w:hAnsi="宋体" w:cs="宋体"/>
          <w:snapToGrid w:val="0"/>
          <w:kern w:val="0"/>
          <w:sz w:val="24"/>
          <w:szCs w:val="24"/>
        </w:rPr>
        <w:t>功能描述</w:t>
      </w:r>
      <w:bookmarkEnd w:id="17"/>
    </w:p>
    <w:p w14:paraId="206BE0C5">
      <w:pPr>
        <w:rPr>
          <w:rFonts w:hint="eastAsia" w:ascii="宋体" w:hAnsi="宋体" w:cs="宋体"/>
          <w:snapToGrid w:val="0"/>
          <w:kern w:val="0"/>
          <w:sz w:val="24"/>
          <w:szCs w:val="24"/>
          <w:lang w:val="en-US" w:eastAsia="zh-CN"/>
        </w:rPr>
      </w:pPr>
      <w:r>
        <w:rPr>
          <w:rFonts w:hint="eastAsia" w:ascii="宋体" w:hAnsi="宋体" w:cs="宋体"/>
          <w:snapToGrid w:val="0"/>
          <w:kern w:val="0"/>
          <w:sz w:val="24"/>
          <w:szCs w:val="24"/>
          <w:lang w:val="en-US" w:eastAsia="zh-CN"/>
        </w:rPr>
        <w:t>在首页【我的待办】和【任务领取】任务列表中：</w:t>
      </w:r>
    </w:p>
    <w:p w14:paraId="62DBC4ED">
      <w:pPr>
        <w:numPr>
          <w:ilvl w:val="0"/>
          <w:numId w:val="3"/>
        </w:numPr>
        <w:rPr>
          <w:rFonts w:hint="default" w:eastAsia="宋体"/>
          <w:lang w:val="en-US" w:eastAsia="zh-CN"/>
        </w:rPr>
      </w:pPr>
      <w:r>
        <w:rPr>
          <w:rFonts w:hint="eastAsia" w:ascii="宋体" w:hAnsi="宋体" w:cs="宋体"/>
          <w:snapToGrid w:val="0"/>
          <w:kern w:val="0"/>
          <w:sz w:val="24"/>
          <w:szCs w:val="24"/>
          <w:lang w:val="en-US" w:eastAsia="zh-CN"/>
        </w:rPr>
        <w:t>对于标识为高敏客户的赔案（全险种）任务置顶，高敏客户置顶规则高于现有所有默认的任务列表展示顺序规则。任务类型为所有。</w:t>
      </w:r>
    </w:p>
    <w:p w14:paraId="14A14C01">
      <w:pPr>
        <w:numPr>
          <w:ilvl w:val="0"/>
          <w:numId w:val="3"/>
        </w:numPr>
        <w:rPr>
          <w:rFonts w:hint="default" w:eastAsia="宋体"/>
          <w:lang w:val="en-US" w:eastAsia="zh-CN"/>
        </w:rPr>
      </w:pPr>
      <w:r>
        <w:rPr>
          <w:rFonts w:hint="eastAsia" w:ascii="宋体" w:hAnsi="宋体" w:cs="宋体"/>
          <w:snapToGrid w:val="0"/>
          <w:kern w:val="0"/>
          <w:sz w:val="24"/>
          <w:szCs w:val="24"/>
          <w:lang w:val="en-US" w:eastAsia="zh-CN"/>
        </w:rPr>
        <w:t>对于对于标识为高敏客户的赔案（全险种）任务，在报案号右上角新增“高敏”图标。任务类型为所有。</w:t>
      </w:r>
    </w:p>
    <w:p w14:paraId="0FF0D7DB">
      <w:pPr>
        <w:pStyle w:val="4"/>
        <w:rPr>
          <w:rFonts w:ascii="宋体" w:hAnsi="宋体" w:cs="宋体"/>
          <w:snapToGrid w:val="0"/>
          <w:kern w:val="0"/>
          <w:sz w:val="24"/>
          <w:szCs w:val="24"/>
        </w:rPr>
      </w:pPr>
      <w:bookmarkStart w:id="18" w:name="_Toc15510"/>
      <w:r>
        <w:rPr>
          <w:rFonts w:hint="eastAsia" w:ascii="宋体" w:hAnsi="宋体" w:cs="宋体"/>
          <w:snapToGrid w:val="0"/>
          <w:kern w:val="0"/>
          <w:sz w:val="24"/>
          <w:szCs w:val="24"/>
        </w:rPr>
        <w:t>业务规则</w:t>
      </w:r>
      <w:bookmarkEnd w:id="18"/>
    </w:p>
    <w:p w14:paraId="722C707A">
      <w:pPr>
        <w:rPr>
          <w:rFonts w:hint="eastAsia"/>
          <w:lang w:val="en-US" w:eastAsia="zh-CN"/>
        </w:rPr>
      </w:pPr>
      <w:r>
        <w:rPr>
          <w:rFonts w:hint="eastAsia"/>
          <w:lang w:val="en-US" w:eastAsia="zh-CN"/>
        </w:rPr>
        <w:t>页面示意图：</w:t>
      </w:r>
    </w:p>
    <w:p w14:paraId="3D709BB9">
      <w:pPr>
        <w:numPr>
          <w:ilvl w:val="0"/>
          <w:numId w:val="4"/>
        </w:numPr>
        <w:rPr>
          <w:rFonts w:hint="default"/>
          <w:lang w:val="en-US" w:eastAsia="zh-CN"/>
        </w:rPr>
      </w:pPr>
      <w:r>
        <w:rPr>
          <w:rFonts w:hint="eastAsia"/>
          <w:lang w:val="en-US" w:eastAsia="zh-CN"/>
        </w:rPr>
        <w:t>以车理赔案件为例，我的待办页面</w:t>
      </w:r>
    </w:p>
    <w:p w14:paraId="64B6B3F1">
      <w:pPr>
        <w:rPr>
          <w:rFonts w:hint="default"/>
          <w:lang w:val="en-US" w:eastAsia="zh-CN"/>
        </w:rPr>
      </w:pPr>
      <w:r>
        <w:rPr>
          <w:rFonts w:hint="default"/>
          <w:lang w:val="en-US" w:eastAsia="zh-CN"/>
        </w:rPr>
        <w:drawing>
          <wp:inline distT="0" distB="0" distL="114300" distR="114300">
            <wp:extent cx="5274310" cy="2413635"/>
            <wp:effectExtent l="0" t="0" r="2540" b="5715"/>
            <wp:docPr id="2" name="图片 2" descr="北极星待办列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北极星待办列表"/>
                    <pic:cNvPicPr>
                      <a:picLocks noChangeAspect="1"/>
                    </pic:cNvPicPr>
                  </pic:nvPicPr>
                  <pic:blipFill>
                    <a:blip r:embed="rId8"/>
                    <a:stretch>
                      <a:fillRect/>
                    </a:stretch>
                  </pic:blipFill>
                  <pic:spPr>
                    <a:xfrm>
                      <a:off x="0" y="0"/>
                      <a:ext cx="5274310" cy="2413635"/>
                    </a:xfrm>
                    <a:prstGeom prst="rect">
                      <a:avLst/>
                    </a:prstGeom>
                  </pic:spPr>
                </pic:pic>
              </a:graphicData>
            </a:graphic>
          </wp:inline>
        </w:drawing>
      </w:r>
    </w:p>
    <w:p w14:paraId="3AE0C97E">
      <w:pPr>
        <w:numPr>
          <w:ilvl w:val="0"/>
          <w:numId w:val="4"/>
        </w:numPr>
        <w:ind w:left="0" w:leftChars="0" w:firstLine="0" w:firstLineChars="0"/>
        <w:rPr>
          <w:rFonts w:hint="default"/>
          <w:lang w:val="en-US" w:eastAsia="zh-CN"/>
        </w:rPr>
      </w:pPr>
      <w:r>
        <w:rPr>
          <w:rFonts w:hint="eastAsia"/>
          <w:lang w:val="en-US" w:eastAsia="zh-CN"/>
        </w:rPr>
        <w:t>以车理赔为例，任务领取页面：</w:t>
      </w:r>
    </w:p>
    <w:p w14:paraId="718389E8">
      <w:pPr>
        <w:numPr>
          <w:ilvl w:val="0"/>
          <w:numId w:val="0"/>
        </w:numPr>
        <w:ind w:leftChars="0"/>
        <w:rPr>
          <w:rFonts w:hint="default"/>
          <w:lang w:val="en-US" w:eastAsia="zh-CN"/>
        </w:rPr>
      </w:pPr>
      <w:r>
        <w:rPr>
          <w:rFonts w:hint="default"/>
          <w:lang w:val="en-US" w:eastAsia="zh-CN"/>
        </w:rPr>
        <w:drawing>
          <wp:inline distT="0" distB="0" distL="114300" distR="114300">
            <wp:extent cx="5274310" cy="2001520"/>
            <wp:effectExtent l="0" t="0" r="2540" b="17780"/>
            <wp:docPr id="3" name="图片 3" descr="北极星待领取列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北极星待领取列表"/>
                    <pic:cNvPicPr>
                      <a:picLocks noChangeAspect="1"/>
                    </pic:cNvPicPr>
                  </pic:nvPicPr>
                  <pic:blipFill>
                    <a:blip r:embed="rId9"/>
                    <a:stretch>
                      <a:fillRect/>
                    </a:stretch>
                  </pic:blipFill>
                  <pic:spPr>
                    <a:xfrm>
                      <a:off x="0" y="0"/>
                      <a:ext cx="5274310" cy="2001520"/>
                    </a:xfrm>
                    <a:prstGeom prst="rect">
                      <a:avLst/>
                    </a:prstGeom>
                  </pic:spPr>
                </pic:pic>
              </a:graphicData>
            </a:graphic>
          </wp:inline>
        </w:drawing>
      </w:r>
    </w:p>
    <w:p w14:paraId="54A04379">
      <w:pPr>
        <w:pStyle w:val="3"/>
        <w:rPr>
          <w:rFonts w:hint="default"/>
          <w:lang w:val="en-US" w:eastAsia="zh-CN"/>
        </w:rPr>
      </w:pPr>
      <w:bookmarkStart w:id="19" w:name="_Toc25006"/>
      <w:r>
        <w:rPr>
          <w:rFonts w:hint="eastAsia" w:ascii="宋体" w:hAnsi="宋体" w:eastAsia="宋体" w:cs="宋体"/>
          <w:snapToGrid w:val="0"/>
          <w:kern w:val="0"/>
        </w:rPr>
        <w:t>用例</w:t>
      </w:r>
      <w:r>
        <w:rPr>
          <w:rFonts w:hint="eastAsia" w:ascii="宋体" w:hAnsi="宋体" w:eastAsia="宋体" w:cs="宋体"/>
          <w:snapToGrid w:val="0"/>
          <w:kern w:val="0"/>
          <w:lang w:val="en-US" w:eastAsia="zh-CN"/>
        </w:rPr>
        <w:t>2</w:t>
      </w:r>
      <w:r>
        <w:rPr>
          <w:rFonts w:hint="eastAsia" w:ascii="宋体" w:hAnsi="宋体" w:eastAsia="宋体" w:cs="宋体"/>
          <w:snapToGrid w:val="0"/>
          <w:kern w:val="0"/>
        </w:rPr>
        <w:t xml:space="preserve"> </w:t>
      </w:r>
      <w:r>
        <w:rPr>
          <w:rFonts w:hint="eastAsia" w:ascii="宋体" w:hAnsi="宋体" w:eastAsia="宋体" w:cs="宋体"/>
          <w:snapToGrid w:val="0"/>
          <w:kern w:val="0"/>
          <w:lang w:val="en-US" w:eastAsia="zh-CN"/>
        </w:rPr>
        <w:t>移动理赔系统</w:t>
      </w:r>
      <w:bookmarkEnd w:id="19"/>
    </w:p>
    <w:p w14:paraId="2609BE3D">
      <w:pPr>
        <w:pStyle w:val="4"/>
        <w:rPr>
          <w:rFonts w:ascii="宋体" w:hAnsi="宋体" w:cs="宋体"/>
          <w:snapToGrid w:val="0"/>
          <w:kern w:val="0"/>
          <w:sz w:val="24"/>
          <w:szCs w:val="24"/>
        </w:rPr>
      </w:pPr>
      <w:bookmarkStart w:id="20" w:name="_Toc19473"/>
      <w:r>
        <w:rPr>
          <w:rFonts w:hint="eastAsia" w:ascii="宋体" w:hAnsi="宋体" w:cs="宋体"/>
          <w:snapToGrid w:val="0"/>
          <w:kern w:val="0"/>
          <w:sz w:val="24"/>
          <w:szCs w:val="24"/>
        </w:rPr>
        <w:t>功能描述</w:t>
      </w:r>
      <w:bookmarkEnd w:id="20"/>
    </w:p>
    <w:p w14:paraId="010A63DD">
      <w:pPr>
        <w:rPr>
          <w:rFonts w:hint="eastAsia"/>
        </w:rPr>
      </w:pPr>
      <w:r>
        <w:rPr>
          <w:rFonts w:hint="eastAsia"/>
        </w:rPr>
        <w:t>在【我的待办】任务列表中：</w:t>
      </w:r>
    </w:p>
    <w:p w14:paraId="3E4CEAF7">
      <w:pPr>
        <w:rPr>
          <w:rFonts w:hint="eastAsia"/>
        </w:rPr>
      </w:pPr>
      <w:r>
        <w:rPr>
          <w:rFonts w:hint="eastAsia"/>
        </w:rPr>
        <w:t>1.对于标识为高敏客户的赔案（全险种）任务置顶，高敏客户置顶规则高于现有所有默认的任务列表展示顺序规则。任务类型为所有。</w:t>
      </w:r>
    </w:p>
    <w:p w14:paraId="7A8364E7">
      <w:pPr>
        <w:rPr>
          <w:rFonts w:hint="eastAsia"/>
        </w:rPr>
      </w:pPr>
      <w:r>
        <w:rPr>
          <w:rFonts w:hint="eastAsia"/>
        </w:rPr>
        <w:t>2.对于对于标识为高敏客户的赔案（全险种）任务，在报案号右上角新增“高敏”图标。任务类型为所有。</w:t>
      </w:r>
    </w:p>
    <w:p w14:paraId="68A776C2">
      <w:pPr>
        <w:pStyle w:val="3"/>
        <w:rPr>
          <w:rFonts w:hint="default"/>
          <w:lang w:val="en-US" w:eastAsia="zh-CN"/>
        </w:rPr>
      </w:pPr>
      <w:bookmarkStart w:id="21" w:name="_Toc2200"/>
      <w:r>
        <w:rPr>
          <w:rFonts w:hint="eastAsia" w:ascii="宋体" w:hAnsi="宋体" w:eastAsia="宋体" w:cs="宋体"/>
          <w:snapToGrid w:val="0"/>
          <w:kern w:val="0"/>
        </w:rPr>
        <w:t xml:space="preserve">用例3 </w:t>
      </w:r>
      <w:r>
        <w:rPr>
          <w:rFonts w:hint="eastAsia" w:ascii="宋体" w:hAnsi="宋体" w:eastAsia="宋体" w:cs="宋体"/>
          <w:snapToGrid w:val="0"/>
          <w:kern w:val="0"/>
          <w:lang w:val="en-US" w:eastAsia="zh-CN"/>
        </w:rPr>
        <w:t>线上理赔系统</w:t>
      </w:r>
      <w:bookmarkEnd w:id="21"/>
    </w:p>
    <w:p w14:paraId="36D7C83F">
      <w:pPr>
        <w:pStyle w:val="4"/>
        <w:rPr>
          <w:rFonts w:ascii="宋体" w:hAnsi="宋体" w:cs="宋体"/>
          <w:snapToGrid w:val="0"/>
          <w:kern w:val="0"/>
          <w:sz w:val="24"/>
          <w:szCs w:val="24"/>
        </w:rPr>
      </w:pPr>
      <w:bookmarkStart w:id="22" w:name="_Toc1505"/>
      <w:r>
        <w:rPr>
          <w:rFonts w:hint="eastAsia" w:ascii="宋体" w:hAnsi="宋体" w:cs="宋体"/>
          <w:snapToGrid w:val="0"/>
          <w:kern w:val="0"/>
          <w:sz w:val="24"/>
          <w:szCs w:val="24"/>
        </w:rPr>
        <w:t>功能描述</w:t>
      </w:r>
      <w:bookmarkEnd w:id="22"/>
    </w:p>
    <w:p w14:paraId="7116A41A">
      <w:pPr>
        <w:rPr>
          <w:rFonts w:hint="eastAsia"/>
        </w:rPr>
      </w:pPr>
      <w:r>
        <w:rPr>
          <w:rFonts w:hint="eastAsia"/>
        </w:rPr>
        <w:t>在【我的待办】任务列表中：</w:t>
      </w:r>
    </w:p>
    <w:p w14:paraId="7BC91D99">
      <w:pPr>
        <w:rPr>
          <w:rFonts w:hint="eastAsia"/>
        </w:rPr>
      </w:pPr>
      <w:r>
        <w:rPr>
          <w:rFonts w:hint="eastAsia"/>
        </w:rPr>
        <w:t>1.对于标识为高敏客户的赔案（全险种）任务置顶，高敏客户置顶规则高于现有所有默认的任务列表展示顺序规则。任务类型为所有。</w:t>
      </w:r>
    </w:p>
    <w:p w14:paraId="75E036A4">
      <w:pPr>
        <w:rPr>
          <w:rFonts w:hint="eastAsia"/>
        </w:rPr>
      </w:pPr>
      <w:r>
        <w:rPr>
          <w:rFonts w:hint="eastAsia"/>
        </w:rPr>
        <w:t>2.对于对于标识为高敏客户的赔案（全险种）任务，在报案号</w:t>
      </w:r>
      <w:r>
        <w:rPr>
          <w:rFonts w:hint="eastAsia"/>
          <w:lang w:val="en-US" w:eastAsia="zh-CN"/>
        </w:rPr>
        <w:t>右</w:t>
      </w:r>
      <w:r>
        <w:rPr>
          <w:rFonts w:hint="eastAsia"/>
        </w:rPr>
        <w:t>上角新增“高敏”图标。任务类型为所有。</w:t>
      </w:r>
    </w:p>
    <w:p w14:paraId="6818FA01">
      <w:r>
        <w:drawing>
          <wp:inline distT="0" distB="0" distL="114300" distR="114300">
            <wp:extent cx="5272405" cy="1604645"/>
            <wp:effectExtent l="0" t="0" r="4445" b="14605"/>
            <wp:docPr id="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
                    <pic:cNvPicPr>
                      <a:picLocks noChangeAspect="1"/>
                    </pic:cNvPicPr>
                  </pic:nvPicPr>
                  <pic:blipFill>
                    <a:blip r:embed="rId10"/>
                    <a:stretch>
                      <a:fillRect/>
                    </a:stretch>
                  </pic:blipFill>
                  <pic:spPr>
                    <a:xfrm>
                      <a:off x="0" y="0"/>
                      <a:ext cx="5272405" cy="1604645"/>
                    </a:xfrm>
                    <a:prstGeom prst="rect">
                      <a:avLst/>
                    </a:prstGeom>
                    <a:noFill/>
                    <a:ln>
                      <a:noFill/>
                    </a:ln>
                  </pic:spPr>
                </pic:pic>
              </a:graphicData>
            </a:graphic>
          </wp:inline>
        </w:drawing>
      </w:r>
    </w:p>
    <w:p w14:paraId="1A6B8F29">
      <w:pPr>
        <w:rPr>
          <w:rFonts w:hint="eastAsia"/>
        </w:rPr>
      </w:pPr>
      <w:r>
        <w:drawing>
          <wp:inline distT="0" distB="0" distL="114300" distR="114300">
            <wp:extent cx="2867025" cy="1143000"/>
            <wp:effectExtent l="0" t="0" r="9525" b="0"/>
            <wp:docPr id="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2"/>
                    <pic:cNvPicPr>
                      <a:picLocks noChangeAspect="1"/>
                    </pic:cNvPicPr>
                  </pic:nvPicPr>
                  <pic:blipFill>
                    <a:blip r:embed="rId11"/>
                    <a:stretch>
                      <a:fillRect/>
                    </a:stretch>
                  </pic:blipFill>
                  <pic:spPr>
                    <a:xfrm>
                      <a:off x="0" y="0"/>
                      <a:ext cx="2867025" cy="1143000"/>
                    </a:xfrm>
                    <a:prstGeom prst="rect">
                      <a:avLst/>
                    </a:prstGeom>
                    <a:noFill/>
                    <a:ln>
                      <a:noFill/>
                    </a:ln>
                  </pic:spPr>
                </pic:pic>
              </a:graphicData>
            </a:graphic>
          </wp:inline>
        </w:drawing>
      </w:r>
    </w:p>
    <w:p w14:paraId="0839D020">
      <w:pPr>
        <w:pStyle w:val="3"/>
        <w:rPr>
          <w:rFonts w:ascii="宋体" w:hAnsi="宋体" w:eastAsia="宋体" w:cs="宋体"/>
          <w:snapToGrid w:val="0"/>
          <w:kern w:val="0"/>
        </w:rPr>
      </w:pPr>
      <w:bookmarkStart w:id="23" w:name="_Toc17306"/>
      <w:r>
        <w:rPr>
          <w:rFonts w:hint="eastAsia" w:ascii="宋体" w:hAnsi="宋体" w:eastAsia="宋体" w:cs="宋体"/>
          <w:snapToGrid w:val="0"/>
          <w:kern w:val="0"/>
        </w:rPr>
        <w:t>用例</w:t>
      </w:r>
      <w:r>
        <w:rPr>
          <w:rFonts w:hint="eastAsia" w:ascii="宋体" w:hAnsi="宋体" w:eastAsia="宋体" w:cs="宋体"/>
          <w:snapToGrid w:val="0"/>
          <w:kern w:val="0"/>
          <w:lang w:val="en-US" w:eastAsia="zh-CN"/>
        </w:rPr>
        <w:t>4</w:t>
      </w:r>
      <w:r>
        <w:rPr>
          <w:rFonts w:hint="eastAsia" w:ascii="宋体" w:hAnsi="宋体" w:eastAsia="宋体" w:cs="宋体"/>
          <w:snapToGrid w:val="0"/>
          <w:kern w:val="0"/>
        </w:rPr>
        <w:t xml:space="preserve"> </w:t>
      </w:r>
      <w:r>
        <w:rPr>
          <w:rFonts w:hint="eastAsia" w:ascii="宋体" w:hAnsi="宋体" w:eastAsia="宋体" w:cs="宋体"/>
          <w:snapToGrid w:val="0"/>
          <w:kern w:val="0"/>
          <w:lang w:val="en-US" w:eastAsia="zh-CN"/>
        </w:rPr>
        <w:t>车理赔系统</w:t>
      </w:r>
      <w:bookmarkEnd w:id="23"/>
    </w:p>
    <w:p w14:paraId="3F9029F7">
      <w:pPr>
        <w:pStyle w:val="4"/>
        <w:rPr>
          <w:rFonts w:ascii="宋体" w:hAnsi="宋体" w:cs="宋体"/>
          <w:snapToGrid w:val="0"/>
          <w:kern w:val="0"/>
          <w:sz w:val="24"/>
          <w:szCs w:val="24"/>
        </w:rPr>
      </w:pPr>
      <w:bookmarkStart w:id="24" w:name="_Toc16156"/>
      <w:r>
        <w:rPr>
          <w:rFonts w:hint="eastAsia" w:ascii="宋体" w:hAnsi="宋体" w:cs="宋体"/>
          <w:snapToGrid w:val="0"/>
          <w:kern w:val="0"/>
          <w:sz w:val="24"/>
          <w:szCs w:val="24"/>
        </w:rPr>
        <w:t>功能描述</w:t>
      </w:r>
      <w:bookmarkEnd w:id="24"/>
      <w:bookmarkStart w:id="25" w:name="_MON_1649688950"/>
      <w:bookmarkEnd w:id="25"/>
      <w:bookmarkStart w:id="26" w:name="_Toc490749158"/>
      <w:bookmarkStart w:id="27" w:name="OLE_LINK1"/>
      <w:bookmarkStart w:id="28" w:name="_Toc490048983"/>
    </w:p>
    <w:p w14:paraId="0E9C828A">
      <w:pPr>
        <w:numPr>
          <w:ilvl w:val="0"/>
          <w:numId w:val="5"/>
        </w:numPr>
        <w:rPr>
          <w:rFonts w:hint="eastAsia"/>
          <w:lang w:val="en-US" w:eastAsia="zh-CN"/>
        </w:rPr>
      </w:pPr>
      <w:r>
        <w:rPr>
          <w:rFonts w:hint="eastAsia"/>
          <w:lang w:val="en-US" w:eastAsia="zh-CN"/>
        </w:rPr>
        <w:t>对于高敏客户赔案下的</w:t>
      </w:r>
      <w:r>
        <w:rPr>
          <w:rFonts w:hint="eastAsia"/>
          <w:b/>
          <w:bCs/>
          <w:lang w:val="en-US" w:eastAsia="zh-CN"/>
        </w:rPr>
        <w:t>所有</w:t>
      </w:r>
      <w:r>
        <w:rPr>
          <w:rFonts w:hint="eastAsia"/>
          <w:lang w:val="en-US" w:eastAsia="zh-CN"/>
        </w:rPr>
        <w:t>任务类型（以风险报告弹窗覆盖的任务范围为准），在处理对应任务时（每次打开任务处理页面），弹窗提示，用户关掉提示窗后继续作业。</w:t>
      </w:r>
    </w:p>
    <w:p w14:paraId="16278543">
      <w:pPr>
        <w:numPr>
          <w:ilvl w:val="0"/>
          <w:numId w:val="5"/>
        </w:numPr>
        <w:rPr>
          <w:rFonts w:hint="eastAsia"/>
          <w:lang w:val="en-US" w:eastAsia="zh-CN"/>
        </w:rPr>
      </w:pPr>
      <w:r>
        <w:rPr>
          <w:rFonts w:hint="eastAsia"/>
          <w:lang w:val="en-US" w:eastAsia="zh-CN"/>
        </w:rPr>
        <w:t>对高敏客户的赔案，在报案完成后，短信通知分公司理赔负责人知晓赔案，起到监督跟进赔案进展作用。短信通知复用并优化现有短信配置功能。</w:t>
      </w:r>
    </w:p>
    <w:p w14:paraId="44292AC0">
      <w:pPr>
        <w:numPr>
          <w:ilvl w:val="0"/>
          <w:numId w:val="5"/>
        </w:numPr>
        <w:rPr>
          <w:rFonts w:hint="eastAsia"/>
          <w:lang w:val="en-US" w:eastAsia="zh-CN"/>
        </w:rPr>
      </w:pPr>
      <w:r>
        <w:rPr>
          <w:rFonts w:hint="eastAsia"/>
          <w:lang w:val="en-US" w:eastAsia="zh-CN"/>
        </w:rPr>
        <w:t>赔案信息中记录“高敏客户”标识，便于用户在后端即席等系统提数。</w:t>
      </w:r>
    </w:p>
    <w:p w14:paraId="77B9CE1E">
      <w:pPr>
        <w:numPr>
          <w:ilvl w:val="0"/>
          <w:numId w:val="5"/>
        </w:numPr>
        <w:rPr>
          <w:rFonts w:hint="eastAsia"/>
          <w:lang w:val="en-US" w:eastAsia="zh-CN"/>
        </w:rPr>
      </w:pPr>
      <w:r>
        <w:rPr>
          <w:rFonts w:hint="eastAsia"/>
          <w:color w:val="0000FF"/>
          <w:lang w:val="en-US" w:eastAsia="zh-CN"/>
        </w:rPr>
        <w:t>对于由车理赔完成报案的：同样需要在报案完成后明确是否为高敏客户赔案（通过出险人和被保险人客户号查询），并将是否高敏客户的标识随现有案件报案信息同步接口同步给CC。如果是高敏客户赔案，需同样要按上述1、2、3点执行。</w:t>
      </w:r>
    </w:p>
    <w:p w14:paraId="2551821D">
      <w:pPr>
        <w:pStyle w:val="4"/>
        <w:rPr>
          <w:rFonts w:ascii="宋体" w:hAnsi="宋体" w:cs="宋体"/>
          <w:snapToGrid w:val="0"/>
          <w:kern w:val="0"/>
          <w:sz w:val="24"/>
          <w:szCs w:val="24"/>
        </w:rPr>
      </w:pPr>
      <w:bookmarkStart w:id="29" w:name="_Toc28228"/>
      <w:r>
        <w:rPr>
          <w:rFonts w:hint="eastAsia" w:ascii="宋体" w:hAnsi="宋体" w:cs="宋体"/>
          <w:snapToGrid w:val="0"/>
          <w:kern w:val="0"/>
          <w:sz w:val="24"/>
          <w:szCs w:val="24"/>
        </w:rPr>
        <w:t>业务规则</w:t>
      </w:r>
      <w:bookmarkEnd w:id="29"/>
    </w:p>
    <w:p w14:paraId="455031B3">
      <w:pPr>
        <w:numPr>
          <w:ilvl w:val="0"/>
          <w:numId w:val="6"/>
        </w:numPr>
        <w:rPr>
          <w:rFonts w:hint="eastAsia"/>
          <w:lang w:val="en-US" w:eastAsia="zh-CN"/>
        </w:rPr>
      </w:pPr>
      <w:r>
        <w:rPr>
          <w:rFonts w:hint="default"/>
          <w:lang w:val="en-US" w:eastAsia="zh-CN"/>
        </w:rPr>
        <w:t>用户点击待办任务栏中高敏客户案件进入任务时弹出提示框</w:t>
      </w:r>
      <w:r>
        <w:rPr>
          <w:rFonts w:hint="eastAsia"/>
          <w:lang w:val="en-US" w:eastAsia="zh-CN"/>
        </w:rPr>
        <w:t>，复用现有重点客户提示框，放在风险提示弹窗中，如当前任务不展示风险提示弹窗，则新增弹窗展示，提示内容按不同的客户分类展示：</w:t>
      </w:r>
    </w:p>
    <w:p w14:paraId="7667BB64">
      <w:pPr>
        <w:numPr>
          <w:ilvl w:val="0"/>
          <w:numId w:val="7"/>
        </w:numPr>
        <w:ind w:left="425" w:leftChars="0" w:hanging="425" w:firstLineChars="0"/>
        <w:rPr>
          <w:rFonts w:hint="eastAsia"/>
          <w:lang w:val="en-US" w:eastAsia="zh-CN"/>
        </w:rPr>
      </w:pPr>
      <w:r>
        <w:rPr>
          <w:rFonts w:hint="eastAsia"/>
          <w:lang w:val="en-US" w:eastAsia="zh-CN"/>
        </w:rPr>
        <w:t>如果是高敏客户，则弹窗内容为：该客户为高敏客户，请注意服务时效！</w:t>
      </w:r>
    </w:p>
    <w:p w14:paraId="40A720AE">
      <w:pPr>
        <w:numPr>
          <w:ilvl w:val="0"/>
          <w:numId w:val="7"/>
        </w:numPr>
        <w:ind w:left="425" w:leftChars="0" w:hanging="425" w:firstLineChars="0"/>
        <w:rPr>
          <w:rFonts w:hint="default"/>
          <w:lang w:val="en-US" w:eastAsia="zh-CN"/>
        </w:rPr>
      </w:pPr>
      <w:r>
        <w:rPr>
          <w:rFonts w:hint="eastAsia"/>
          <w:lang w:val="en-US" w:eastAsia="zh-CN"/>
        </w:rPr>
        <w:t>如果既是高敏客户又是重点客户，弹窗内容同高敏客户。</w:t>
      </w:r>
    </w:p>
    <w:p w14:paraId="07F3434B">
      <w:pPr>
        <w:numPr>
          <w:ilvl w:val="0"/>
          <w:numId w:val="7"/>
        </w:numPr>
        <w:ind w:left="425" w:leftChars="0" w:hanging="425" w:firstLineChars="0"/>
        <w:rPr>
          <w:rFonts w:hint="eastAsia"/>
          <w:lang w:val="en-US" w:eastAsia="zh-CN"/>
        </w:rPr>
      </w:pPr>
      <w:r>
        <w:rPr>
          <w:rFonts w:hint="eastAsia"/>
          <w:lang w:val="en-US" w:eastAsia="zh-CN"/>
        </w:rPr>
        <w:t>如果是重点客户，则弹窗内容为：该客户为重点客户，请注意服务时效！</w:t>
      </w:r>
    </w:p>
    <w:p w14:paraId="59605C09">
      <w:pPr>
        <w:rPr>
          <w:rFonts w:hint="default"/>
          <w:lang w:val="en-US" w:eastAsia="zh-CN"/>
        </w:rPr>
      </w:pPr>
    </w:p>
    <w:p w14:paraId="731591CD">
      <w:pPr>
        <w:rPr>
          <w:rFonts w:hint="eastAsia"/>
          <w:lang w:val="en-US" w:eastAsia="zh-CN"/>
        </w:rPr>
      </w:pPr>
      <w:r>
        <w:rPr>
          <w:rFonts w:hint="eastAsia"/>
          <w:lang w:val="en-US" w:eastAsia="zh-CN"/>
        </w:rPr>
        <w:t>上述提到的复用现有重点客户提示框如下：</w:t>
      </w:r>
    </w:p>
    <w:p w14:paraId="28CE0127">
      <w:pPr>
        <w:rPr>
          <w:rFonts w:hint="default"/>
          <w:lang w:val="en-US" w:eastAsia="zh-CN"/>
        </w:rPr>
      </w:pPr>
      <w:r>
        <w:rPr>
          <w:rFonts w:ascii="宋体" w:hAnsi="宋体" w:eastAsia="宋体" w:cs="宋体"/>
          <w:sz w:val="24"/>
          <w:szCs w:val="24"/>
        </w:rPr>
        <w:drawing>
          <wp:inline distT="0" distB="0" distL="114300" distR="114300">
            <wp:extent cx="4358005" cy="2351405"/>
            <wp:effectExtent l="0" t="0" r="4445" b="10795"/>
            <wp:docPr id="4" name="图片 4"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IMG_256"/>
                    <pic:cNvPicPr>
                      <a:picLocks noChangeAspect="1"/>
                    </pic:cNvPicPr>
                  </pic:nvPicPr>
                  <pic:blipFill>
                    <a:blip r:embed="rId12"/>
                    <a:stretch>
                      <a:fillRect/>
                    </a:stretch>
                  </pic:blipFill>
                  <pic:spPr>
                    <a:xfrm>
                      <a:off x="0" y="0"/>
                      <a:ext cx="4358005" cy="2351405"/>
                    </a:xfrm>
                    <a:prstGeom prst="rect">
                      <a:avLst/>
                    </a:prstGeom>
                    <a:noFill/>
                    <a:ln w="9525">
                      <a:noFill/>
                    </a:ln>
                  </pic:spPr>
                </pic:pic>
              </a:graphicData>
            </a:graphic>
          </wp:inline>
        </w:drawing>
      </w:r>
    </w:p>
    <w:p w14:paraId="07E02A96">
      <w:pPr>
        <w:ind w:firstLine="420"/>
      </w:pPr>
    </w:p>
    <w:p w14:paraId="3AFFA470">
      <w:pPr>
        <w:numPr>
          <w:ilvl w:val="0"/>
          <w:numId w:val="6"/>
        </w:numPr>
        <w:rPr>
          <w:rFonts w:hint="eastAsia"/>
          <w:lang w:val="en-US" w:eastAsia="zh-CN"/>
        </w:rPr>
      </w:pPr>
      <w:r>
        <w:rPr>
          <w:rFonts w:hint="eastAsia"/>
          <w:lang w:val="en-US" w:eastAsia="zh-CN"/>
        </w:rPr>
        <w:t>对高敏客户的赔案，在报案完成后，短信通知分公司理赔负责人知晓赔案，起到监督跟进赔案进展作用。复用现有短信配置功能。</w:t>
      </w:r>
    </w:p>
    <w:p w14:paraId="06758799">
      <w:pPr>
        <w:numPr>
          <w:ilvl w:val="0"/>
          <w:numId w:val="8"/>
        </w:numPr>
        <w:rPr>
          <w:rFonts w:hint="eastAsia"/>
          <w:lang w:val="en-US" w:eastAsia="zh-CN"/>
        </w:rPr>
      </w:pPr>
      <w:r>
        <w:rPr>
          <w:rFonts w:hint="eastAsia"/>
          <w:lang w:val="en-US" w:eastAsia="zh-CN"/>
        </w:rPr>
        <w:t>现有重点客户P码值短信配置功能页面，配置类型新增“高敏客户”，配置后高敏客户赔案可自动发送短信至</w:t>
      </w:r>
      <w:r>
        <w:rPr>
          <w:rFonts w:hint="eastAsia"/>
          <w:color w:val="0000FF"/>
          <w:lang w:val="en-US" w:eastAsia="zh-CN"/>
        </w:rPr>
        <w:t>承保分公司联系人</w:t>
      </w:r>
      <w:r>
        <w:rPr>
          <w:rFonts w:hint="eastAsia"/>
          <w:lang w:val="en-US" w:eastAsia="zh-CN"/>
        </w:rPr>
        <w:t>（理赔负责人）手机号。</w:t>
      </w:r>
    </w:p>
    <w:p w14:paraId="1651AAAC">
      <w:pPr>
        <w:numPr>
          <w:ilvl w:val="0"/>
          <w:numId w:val="8"/>
        </w:numPr>
        <w:rPr>
          <w:rFonts w:hint="default"/>
          <w:lang w:val="en-US" w:eastAsia="zh-CN"/>
        </w:rPr>
      </w:pPr>
      <w:r>
        <w:rPr>
          <w:rFonts w:hint="eastAsia"/>
          <w:color w:val="0000FF"/>
          <w:lang w:val="en-US" w:eastAsia="zh-CN"/>
        </w:rPr>
        <w:t>异地出险案件，需要同时发送给承保、出险分公司理赔负责人</w:t>
      </w:r>
      <w:r>
        <w:rPr>
          <w:rFonts w:hint="eastAsia"/>
          <w:lang w:val="en-US" w:eastAsia="zh-CN"/>
        </w:rPr>
        <w:t>。</w:t>
      </w:r>
      <w:r>
        <w:rPr>
          <w:rFonts w:hint="eastAsia"/>
          <w:color w:val="0000FF"/>
          <w:lang w:val="en-US" w:eastAsia="zh-CN"/>
        </w:rPr>
        <w:t>举例：比如上海分公司保单在北京出险，则需要给上海分公司下维护的高敏联系人和北京分公司下维护的高敏联系人都发高敏客户出险通知短信。</w:t>
      </w:r>
    </w:p>
    <w:p w14:paraId="08823586">
      <w:pPr>
        <w:rPr>
          <w:rFonts w:ascii="仿宋" w:hAnsi="仿宋" w:eastAsia="仿宋" w:cs="仿宋"/>
          <w:i w:val="0"/>
          <w:iCs w:val="0"/>
          <w:caps w:val="0"/>
          <w:color w:val="000000"/>
          <w:spacing w:val="0"/>
          <w:sz w:val="30"/>
          <w:szCs w:val="30"/>
        </w:rPr>
      </w:pPr>
      <w:r>
        <w:rPr>
          <w:rFonts w:ascii="仿宋" w:hAnsi="仿宋" w:eastAsia="仿宋" w:cs="仿宋"/>
          <w:i w:val="0"/>
          <w:iCs w:val="0"/>
          <w:caps w:val="0"/>
          <w:color w:val="000000"/>
          <w:spacing w:val="0"/>
          <w:sz w:val="30"/>
          <w:szCs w:val="30"/>
        </w:rPr>
        <w:drawing>
          <wp:inline distT="0" distB="0" distL="114300" distR="114300">
            <wp:extent cx="5149850" cy="1809115"/>
            <wp:effectExtent l="0" t="0" r="12700" b="635"/>
            <wp:docPr id="5" name="图片 5"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IMG_256"/>
                    <pic:cNvPicPr>
                      <a:picLocks noChangeAspect="1"/>
                    </pic:cNvPicPr>
                  </pic:nvPicPr>
                  <pic:blipFill>
                    <a:blip r:embed="rId13"/>
                    <a:stretch>
                      <a:fillRect/>
                    </a:stretch>
                  </pic:blipFill>
                  <pic:spPr>
                    <a:xfrm>
                      <a:off x="0" y="0"/>
                      <a:ext cx="5149850" cy="1809115"/>
                    </a:xfrm>
                    <a:prstGeom prst="rect">
                      <a:avLst/>
                    </a:prstGeom>
                    <a:noFill/>
                    <a:ln w="9525">
                      <a:noFill/>
                    </a:ln>
                  </pic:spPr>
                </pic:pic>
              </a:graphicData>
            </a:graphic>
          </wp:inline>
        </w:drawing>
      </w:r>
    </w:p>
    <w:p w14:paraId="284941A8">
      <w:r>
        <w:drawing>
          <wp:inline distT="0" distB="0" distL="114300" distR="114300">
            <wp:extent cx="5266055" cy="1631315"/>
            <wp:effectExtent l="0" t="0" r="10795" b="6985"/>
            <wp:docPr id="11"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2"/>
                    <pic:cNvPicPr>
                      <a:picLocks noChangeAspect="1"/>
                    </pic:cNvPicPr>
                  </pic:nvPicPr>
                  <pic:blipFill>
                    <a:blip r:embed="rId14"/>
                    <a:stretch>
                      <a:fillRect/>
                    </a:stretch>
                  </pic:blipFill>
                  <pic:spPr>
                    <a:xfrm>
                      <a:off x="0" y="0"/>
                      <a:ext cx="5266055" cy="1631315"/>
                    </a:xfrm>
                    <a:prstGeom prst="rect">
                      <a:avLst/>
                    </a:prstGeom>
                    <a:noFill/>
                    <a:ln>
                      <a:noFill/>
                    </a:ln>
                  </pic:spPr>
                </pic:pic>
              </a:graphicData>
            </a:graphic>
          </wp:inline>
        </w:drawing>
      </w:r>
    </w:p>
    <w:p w14:paraId="0B1E5E2C">
      <w:pPr>
        <w:rPr>
          <w:rFonts w:hint="eastAsia" w:eastAsia="宋体"/>
          <w:lang w:eastAsia="zh-CN"/>
        </w:rPr>
      </w:pPr>
    </w:p>
    <w:p w14:paraId="3930EA10">
      <w:pPr>
        <w:rPr>
          <w:rFonts w:hint="eastAsia"/>
          <w:b/>
          <w:bCs/>
          <w:lang w:val="en-US" w:eastAsia="zh-CN"/>
        </w:rPr>
      </w:pPr>
      <w:r>
        <w:rPr>
          <w:rFonts w:hint="eastAsia"/>
          <w:b/>
          <w:bCs/>
          <w:lang w:val="en-US" w:eastAsia="zh-CN"/>
        </w:rPr>
        <w:t>调整点说明：在重点客户短信配置页面</w:t>
      </w:r>
    </w:p>
    <w:p w14:paraId="0276A178">
      <w:pPr>
        <w:numPr>
          <w:ilvl w:val="0"/>
          <w:numId w:val="9"/>
        </w:numPr>
        <w:ind w:left="420" w:leftChars="0" w:hanging="420" w:firstLineChars="0"/>
        <w:rPr>
          <w:rFonts w:hint="default"/>
          <w:lang w:val="en-US" w:eastAsia="zh-CN"/>
        </w:rPr>
      </w:pPr>
      <w:r>
        <w:rPr>
          <w:rFonts w:hint="eastAsia"/>
          <w:lang w:val="en-US" w:eastAsia="zh-CN"/>
        </w:rPr>
        <w:t>配置条件中新增单选项【高敏客户】，非必选，选中则认定此条短信模板为高敏客户短信模板。当报案后满足高敏客户的赔案，需要发短信到对应联系人手机号。</w:t>
      </w:r>
    </w:p>
    <w:p w14:paraId="4591A1C8">
      <w:pPr>
        <w:numPr>
          <w:ilvl w:val="0"/>
          <w:numId w:val="9"/>
        </w:numPr>
        <w:ind w:left="420" w:leftChars="0" w:hanging="420" w:firstLineChars="0"/>
        <w:rPr>
          <w:rFonts w:hint="default"/>
          <w:lang w:val="en-US" w:eastAsia="zh-CN"/>
        </w:rPr>
      </w:pPr>
      <w:r>
        <w:rPr>
          <w:rFonts w:hint="eastAsia"/>
          <w:lang w:val="en-US" w:eastAsia="zh-CN"/>
        </w:rPr>
        <w:t>短信文本格式中新增选项【高敏客户姓名】，非必选，选中则拼接至短信文本模板中。选择了【高敏客户姓名】的，需要在点击“编辑完成”时系统校验，是否点选了【高敏客户】，如未点选，则提示“请点选高敏客户”，同时不允许保存当前配置。</w:t>
      </w:r>
    </w:p>
    <w:p w14:paraId="1841F149">
      <w:pPr>
        <w:pStyle w:val="3"/>
        <w:rPr>
          <w:rFonts w:ascii="宋体" w:hAnsi="宋体" w:eastAsia="宋体" w:cs="宋体"/>
          <w:snapToGrid w:val="0"/>
          <w:kern w:val="0"/>
        </w:rPr>
      </w:pPr>
      <w:bookmarkStart w:id="30" w:name="_Toc31929"/>
      <w:r>
        <w:rPr>
          <w:rFonts w:hint="eastAsia" w:ascii="宋体" w:hAnsi="宋体" w:eastAsia="宋体" w:cs="宋体"/>
          <w:snapToGrid w:val="0"/>
          <w:kern w:val="0"/>
        </w:rPr>
        <w:t>用例</w:t>
      </w:r>
      <w:r>
        <w:rPr>
          <w:rFonts w:hint="eastAsia" w:ascii="宋体" w:hAnsi="宋体" w:eastAsia="宋体" w:cs="宋体"/>
          <w:snapToGrid w:val="0"/>
          <w:kern w:val="0"/>
          <w:lang w:val="en-US" w:eastAsia="zh-CN"/>
        </w:rPr>
        <w:t>5</w:t>
      </w:r>
      <w:r>
        <w:rPr>
          <w:rFonts w:hint="eastAsia" w:ascii="宋体" w:hAnsi="宋体" w:eastAsia="宋体" w:cs="宋体"/>
          <w:snapToGrid w:val="0"/>
          <w:kern w:val="0"/>
        </w:rPr>
        <w:t xml:space="preserve"> </w:t>
      </w:r>
      <w:r>
        <w:rPr>
          <w:rFonts w:hint="eastAsia" w:ascii="宋体" w:hAnsi="宋体" w:eastAsia="宋体" w:cs="宋体"/>
          <w:snapToGrid w:val="0"/>
          <w:kern w:val="0"/>
          <w:lang w:val="en-US" w:eastAsia="zh-CN"/>
        </w:rPr>
        <w:t>意健险理赔系统</w:t>
      </w:r>
      <w:bookmarkEnd w:id="30"/>
    </w:p>
    <w:p w14:paraId="5445E40B">
      <w:pPr>
        <w:rPr>
          <w:rFonts w:hint="default"/>
          <w:lang w:val="en-US" w:eastAsia="zh-CN"/>
        </w:rPr>
      </w:pPr>
      <w:r>
        <w:rPr>
          <w:rFonts w:hint="eastAsia"/>
          <w:lang w:val="en-US" w:eastAsia="zh-CN"/>
        </w:rPr>
        <w:t>报案来源：不含批导、批量报案、四川医保通、报销单报案以及全流程自动完成的渠道报案。</w:t>
      </w:r>
      <w:r>
        <w:rPr>
          <w:rFonts w:hint="eastAsia"/>
          <w:b/>
          <w:bCs/>
          <w:lang w:val="en-US" w:eastAsia="zh-CN"/>
        </w:rPr>
        <w:t>获取/查询高敏客户标识并保存。</w:t>
      </w:r>
    </w:p>
    <w:p w14:paraId="175D20AD">
      <w:pPr>
        <w:numPr>
          <w:ilvl w:val="0"/>
          <w:numId w:val="10"/>
        </w:numPr>
        <w:rPr>
          <w:rFonts w:hint="default"/>
          <w:lang w:val="en-US" w:eastAsia="zh-CN"/>
        </w:rPr>
      </w:pPr>
      <w:r>
        <w:rPr>
          <w:rFonts w:hint="eastAsia"/>
          <w:b/>
          <w:bCs/>
          <w:lang w:val="en-US" w:eastAsia="zh-CN"/>
        </w:rPr>
        <w:t>对于经过全媒体客服系统报案的</w:t>
      </w:r>
      <w:r>
        <w:rPr>
          <w:rFonts w:hint="eastAsia"/>
          <w:lang w:val="en-US" w:eastAsia="zh-CN"/>
        </w:rPr>
        <w:t>（含：电话报案、超A、小程序报案、外部渠道报案）：赔案的高敏客户标识由全媒体客服系统随报案同步理赔系统。</w:t>
      </w:r>
    </w:p>
    <w:p w14:paraId="26B1D251">
      <w:pPr>
        <w:numPr>
          <w:ilvl w:val="0"/>
          <w:numId w:val="10"/>
        </w:numPr>
        <w:rPr>
          <w:rFonts w:hint="default"/>
          <w:lang w:val="en-US" w:eastAsia="zh-CN"/>
        </w:rPr>
      </w:pPr>
      <w:r>
        <w:rPr>
          <w:rFonts w:hint="eastAsia"/>
          <w:b/>
          <w:bCs/>
          <w:color w:val="0000FF"/>
          <w:lang w:val="en-US" w:eastAsia="zh-CN"/>
        </w:rPr>
        <w:t>对于理赔柜面报案的</w:t>
      </w:r>
      <w:r>
        <w:rPr>
          <w:rFonts w:hint="eastAsia"/>
          <w:color w:val="0000FF"/>
          <w:lang w:val="en-US" w:eastAsia="zh-CN"/>
        </w:rPr>
        <w:t>：同样需要在报案完成后明确是否为高敏客户赔案。并将是否高敏客户的标识随现有案件报案信息同步接口同步给CC。</w:t>
      </w:r>
    </w:p>
    <w:p w14:paraId="55D573AB">
      <w:pPr>
        <w:numPr>
          <w:ilvl w:val="0"/>
          <w:numId w:val="11"/>
        </w:numPr>
        <w:rPr>
          <w:rFonts w:hint="eastAsia"/>
          <w:color w:val="0000FF"/>
          <w:lang w:val="en-US" w:eastAsia="zh-CN"/>
        </w:rPr>
      </w:pPr>
      <w:r>
        <w:rPr>
          <w:rFonts w:hint="eastAsia"/>
          <w:color w:val="0000FF"/>
          <w:lang w:val="en-US" w:eastAsia="zh-CN"/>
        </w:rPr>
        <w:t>对于团单，且被保险人有多人的，只查询</w:t>
      </w:r>
      <w:r>
        <w:rPr>
          <w:rFonts w:hint="eastAsia"/>
          <w:b/>
          <w:bCs/>
          <w:color w:val="0000FF"/>
          <w:lang w:val="en-US" w:eastAsia="zh-CN"/>
        </w:rPr>
        <w:t>出险人和投保人</w:t>
      </w:r>
      <w:r>
        <w:rPr>
          <w:rFonts w:hint="eastAsia"/>
          <w:color w:val="0000FF"/>
          <w:lang w:val="en-US" w:eastAsia="zh-CN"/>
        </w:rPr>
        <w:t>是否为高敏客户；</w:t>
      </w:r>
    </w:p>
    <w:p w14:paraId="595E9D59">
      <w:pPr>
        <w:numPr>
          <w:ilvl w:val="0"/>
          <w:numId w:val="11"/>
        </w:numPr>
        <w:rPr>
          <w:rFonts w:hint="default"/>
          <w:color w:val="0000FF"/>
          <w:lang w:val="en-US" w:eastAsia="zh-CN"/>
        </w:rPr>
      </w:pPr>
      <w:r>
        <w:rPr>
          <w:rFonts w:hint="eastAsia"/>
          <w:color w:val="0000FF"/>
          <w:lang w:val="en-US" w:eastAsia="zh-CN"/>
        </w:rPr>
        <w:t>对于团单，且主被保险人只有1人，如家庭分组保单EVF、ESF、5VF，需查询</w:t>
      </w:r>
      <w:r>
        <w:rPr>
          <w:rFonts w:hint="eastAsia"/>
          <w:b/>
          <w:bCs/>
          <w:color w:val="0000FF"/>
          <w:lang w:val="en-US" w:eastAsia="zh-CN"/>
        </w:rPr>
        <w:t>主被保险人、出险人、投保人</w:t>
      </w:r>
      <w:r>
        <w:rPr>
          <w:rFonts w:hint="eastAsia"/>
          <w:color w:val="0000FF"/>
          <w:lang w:val="en-US" w:eastAsia="zh-CN"/>
        </w:rPr>
        <w:t>是否为高敏客户；</w:t>
      </w:r>
    </w:p>
    <w:p w14:paraId="1032EA88">
      <w:pPr>
        <w:numPr>
          <w:ilvl w:val="0"/>
          <w:numId w:val="11"/>
        </w:numPr>
        <w:rPr>
          <w:rFonts w:hint="default"/>
          <w:color w:val="0000FF"/>
          <w:lang w:val="en-US" w:eastAsia="zh-CN"/>
        </w:rPr>
      </w:pPr>
      <w:r>
        <w:rPr>
          <w:rFonts w:hint="eastAsia"/>
          <w:color w:val="0000FF"/>
          <w:lang w:val="en-US" w:eastAsia="zh-CN"/>
        </w:rPr>
        <w:t>对于个单，查询</w:t>
      </w:r>
      <w:r>
        <w:rPr>
          <w:rFonts w:hint="eastAsia"/>
          <w:b/>
          <w:bCs/>
          <w:color w:val="0000FF"/>
          <w:lang w:val="en-US" w:eastAsia="zh-CN"/>
        </w:rPr>
        <w:t>被保险人、出险人、投保人</w:t>
      </w:r>
      <w:r>
        <w:rPr>
          <w:rFonts w:hint="eastAsia"/>
          <w:color w:val="0000FF"/>
          <w:lang w:val="en-US" w:eastAsia="zh-CN"/>
        </w:rPr>
        <w:t>是否为高敏客户。</w:t>
      </w:r>
    </w:p>
    <w:p w14:paraId="4B1B9AD4">
      <w:pPr>
        <w:widowControl w:val="0"/>
        <w:numPr>
          <w:ilvl w:val="0"/>
          <w:numId w:val="0"/>
        </w:numPr>
        <w:jc w:val="both"/>
        <w:rPr>
          <w:rFonts w:hint="default"/>
          <w:color w:val="0000FF"/>
          <w:lang w:val="en-US" w:eastAsia="zh-CN"/>
        </w:rPr>
      </w:pPr>
      <w:r>
        <w:rPr>
          <w:rFonts w:hint="eastAsia"/>
          <w:color w:val="0000FF"/>
          <w:lang w:val="en-US" w:eastAsia="zh-CN"/>
        </w:rPr>
        <w:t>以上通过客户号查询画像系统查询是否高敏客户，只要返回有一个是高敏客户，则整案标记为高敏客户赔案。</w:t>
      </w:r>
    </w:p>
    <w:p w14:paraId="1F1EDA32">
      <w:pPr>
        <w:numPr>
          <w:ilvl w:val="0"/>
          <w:numId w:val="10"/>
        </w:numPr>
        <w:rPr>
          <w:rFonts w:hint="default"/>
          <w:lang w:val="en-US" w:eastAsia="zh-CN"/>
        </w:rPr>
      </w:pPr>
      <w:r>
        <w:rPr>
          <w:rFonts w:hint="eastAsia"/>
          <w:lang w:val="en-US" w:eastAsia="zh-CN"/>
        </w:rPr>
        <w:t>其余上述未列的报案来源，主要是全流程自动（同程、睿泽、镁信团体医疗、美团）报案不经过CC，以及医保通、四川报销单报案，因流程基本无需人工参与，可保持现状不做调整（即无需查询是否高敏客户赔案）。</w:t>
      </w:r>
    </w:p>
    <w:p w14:paraId="78645A7D">
      <w:pPr>
        <w:pStyle w:val="4"/>
        <w:rPr>
          <w:rFonts w:ascii="宋体" w:hAnsi="宋体" w:cs="宋体"/>
          <w:snapToGrid w:val="0"/>
          <w:kern w:val="0"/>
          <w:sz w:val="24"/>
          <w:szCs w:val="24"/>
        </w:rPr>
      </w:pPr>
      <w:bookmarkStart w:id="31" w:name="_Toc15041"/>
      <w:r>
        <w:rPr>
          <w:rFonts w:hint="eastAsia" w:ascii="宋体" w:hAnsi="宋体" w:cs="宋体"/>
          <w:snapToGrid w:val="0"/>
          <w:kern w:val="0"/>
          <w:sz w:val="24"/>
          <w:szCs w:val="24"/>
        </w:rPr>
        <w:t>功能描述</w:t>
      </w:r>
      <w:bookmarkEnd w:id="31"/>
    </w:p>
    <w:p w14:paraId="75C58295">
      <w:pPr>
        <w:numPr>
          <w:ilvl w:val="0"/>
          <w:numId w:val="12"/>
        </w:numPr>
        <w:rPr>
          <w:rFonts w:hint="default"/>
          <w:lang w:val="en-US" w:eastAsia="zh-CN"/>
        </w:rPr>
      </w:pPr>
      <w:r>
        <w:rPr>
          <w:rFonts w:hint="eastAsia"/>
          <w:lang w:val="en-US" w:eastAsia="zh-CN"/>
        </w:rPr>
        <w:t>对于高敏客户赔案下的所有任务类型，在处理对应任务时（每次打开任务处理页面），弹窗提示，用户关掉提示窗后继续作业。</w:t>
      </w:r>
    </w:p>
    <w:p w14:paraId="1BA7DBA8">
      <w:pPr>
        <w:numPr>
          <w:ilvl w:val="0"/>
          <w:numId w:val="12"/>
        </w:numPr>
        <w:rPr>
          <w:rFonts w:hint="eastAsia"/>
          <w:lang w:val="en-US" w:eastAsia="zh-CN"/>
        </w:rPr>
      </w:pPr>
      <w:r>
        <w:rPr>
          <w:rFonts w:hint="eastAsia"/>
          <w:lang w:val="en-US" w:eastAsia="zh-CN"/>
        </w:rPr>
        <w:t>对高敏客户的赔案，在报案完成后，</w:t>
      </w:r>
      <w:r>
        <w:rPr>
          <w:rFonts w:hint="eastAsia"/>
          <w:b/>
          <w:bCs/>
          <w:color w:val="0000FF"/>
          <w:lang w:val="en-US" w:eastAsia="zh-CN"/>
        </w:rPr>
        <w:t>邮件通知</w:t>
      </w:r>
      <w:r>
        <w:rPr>
          <w:rFonts w:hint="eastAsia"/>
          <w:lang w:val="en-US" w:eastAsia="zh-CN"/>
        </w:rPr>
        <w:t>分公司理赔负责人知晓赔案，起到监督跟进赔案进展作用。</w:t>
      </w:r>
    </w:p>
    <w:p w14:paraId="0CB9B42A">
      <w:pPr>
        <w:numPr>
          <w:ilvl w:val="0"/>
          <w:numId w:val="12"/>
        </w:numPr>
        <w:rPr>
          <w:rFonts w:hint="eastAsia"/>
          <w:lang w:val="en-US" w:eastAsia="zh-CN"/>
        </w:rPr>
      </w:pPr>
      <w:r>
        <w:rPr>
          <w:rFonts w:hint="eastAsia"/>
          <w:lang w:val="en-US" w:eastAsia="zh-CN"/>
        </w:rPr>
        <w:t>赔案信息中记录“高敏客户”标识，便于用户在后端即席等系统提数。</w:t>
      </w:r>
    </w:p>
    <w:p w14:paraId="76775311">
      <w:pPr>
        <w:pStyle w:val="4"/>
        <w:rPr>
          <w:rFonts w:ascii="宋体" w:hAnsi="宋体" w:cs="宋体"/>
          <w:snapToGrid w:val="0"/>
          <w:kern w:val="0"/>
          <w:sz w:val="24"/>
          <w:szCs w:val="24"/>
        </w:rPr>
      </w:pPr>
      <w:bookmarkStart w:id="32" w:name="_Toc19683"/>
      <w:r>
        <w:rPr>
          <w:rFonts w:hint="eastAsia" w:ascii="宋体" w:hAnsi="宋体" w:cs="宋体"/>
          <w:snapToGrid w:val="0"/>
          <w:kern w:val="0"/>
          <w:sz w:val="24"/>
          <w:szCs w:val="24"/>
        </w:rPr>
        <w:t>业务规则</w:t>
      </w:r>
      <w:bookmarkEnd w:id="32"/>
    </w:p>
    <w:p w14:paraId="5ADC8E65">
      <w:pPr>
        <w:numPr>
          <w:ilvl w:val="0"/>
          <w:numId w:val="13"/>
        </w:numPr>
        <w:rPr>
          <w:rFonts w:hint="eastAsia"/>
          <w:lang w:val="en-US" w:eastAsia="zh-CN"/>
        </w:rPr>
      </w:pPr>
      <w:r>
        <w:rPr>
          <w:rFonts w:hint="eastAsia"/>
          <w:lang w:val="en-US" w:eastAsia="zh-CN"/>
        </w:rPr>
        <w:t>对于高敏客户赔案下的所有任务类型，在处理对应任务时（每次打开任务处理页面），弹窗提示，用户关掉提示窗后继续作业。</w:t>
      </w:r>
    </w:p>
    <w:p w14:paraId="46C761AA">
      <w:pPr>
        <w:rPr>
          <w:rFonts w:hint="default" w:eastAsia="宋体"/>
          <w:lang w:val="en-US" w:eastAsia="zh-CN"/>
        </w:rPr>
      </w:pPr>
      <w:r>
        <w:rPr>
          <w:rFonts w:hint="eastAsia"/>
          <w:lang w:eastAsia="zh-CN"/>
        </w:rPr>
        <w:t>（</w:t>
      </w:r>
      <w:r>
        <w:rPr>
          <w:rFonts w:hint="eastAsia"/>
          <w:lang w:val="en-US" w:eastAsia="zh-CN"/>
        </w:rPr>
        <w:t>1</w:t>
      </w:r>
      <w:r>
        <w:rPr>
          <w:rFonts w:hint="eastAsia"/>
          <w:lang w:eastAsia="zh-CN"/>
        </w:rPr>
        <w:t>）</w:t>
      </w:r>
      <w:r>
        <w:rPr>
          <w:rFonts w:hint="eastAsia"/>
          <w:lang w:val="en-US" w:eastAsia="zh-CN"/>
        </w:rPr>
        <w:t>如果打开任务处理页面未触发风险提示，则单独弹窗提示如下内容：</w:t>
      </w:r>
    </w:p>
    <w:p w14:paraId="4C1BA54D">
      <w:r>
        <w:drawing>
          <wp:inline distT="0" distB="0" distL="114300" distR="114300">
            <wp:extent cx="5269230" cy="1235075"/>
            <wp:effectExtent l="0" t="0" r="7620" b="3175"/>
            <wp:docPr id="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pic:cNvPicPr>
                      <a:picLocks noChangeAspect="1"/>
                    </pic:cNvPicPr>
                  </pic:nvPicPr>
                  <pic:blipFill>
                    <a:blip r:embed="rId15"/>
                    <a:stretch>
                      <a:fillRect/>
                    </a:stretch>
                  </pic:blipFill>
                  <pic:spPr>
                    <a:xfrm>
                      <a:off x="0" y="0"/>
                      <a:ext cx="5269230" cy="1235075"/>
                    </a:xfrm>
                    <a:prstGeom prst="rect">
                      <a:avLst/>
                    </a:prstGeom>
                    <a:noFill/>
                    <a:ln>
                      <a:noFill/>
                    </a:ln>
                  </pic:spPr>
                </pic:pic>
              </a:graphicData>
            </a:graphic>
          </wp:inline>
        </w:drawing>
      </w:r>
    </w:p>
    <w:p w14:paraId="7CBA4563">
      <w:pPr>
        <w:numPr>
          <w:ilvl w:val="0"/>
          <w:numId w:val="14"/>
        </w:numPr>
        <w:rPr>
          <w:rFonts w:hint="default"/>
          <w:lang w:val="en-US" w:eastAsia="zh-CN"/>
        </w:rPr>
      </w:pPr>
      <w:r>
        <w:rPr>
          <w:rFonts w:hint="eastAsia"/>
          <w:lang w:val="en-US" w:eastAsia="zh-CN"/>
        </w:rPr>
        <w:t>如果打开任务处理页面触发了风险提示，则在风险提示弹窗增加提示如下红字内容：</w:t>
      </w:r>
    </w:p>
    <w:p w14:paraId="6050443B">
      <w:r>
        <w:drawing>
          <wp:inline distT="0" distB="0" distL="114300" distR="114300">
            <wp:extent cx="5352415" cy="1823085"/>
            <wp:effectExtent l="0" t="0" r="635" b="5715"/>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16"/>
                    <a:stretch>
                      <a:fillRect/>
                    </a:stretch>
                  </pic:blipFill>
                  <pic:spPr>
                    <a:xfrm>
                      <a:off x="0" y="0"/>
                      <a:ext cx="5352415" cy="1823085"/>
                    </a:xfrm>
                    <a:prstGeom prst="rect">
                      <a:avLst/>
                    </a:prstGeom>
                    <a:noFill/>
                    <a:ln>
                      <a:noFill/>
                    </a:ln>
                  </pic:spPr>
                </pic:pic>
              </a:graphicData>
            </a:graphic>
          </wp:inline>
        </w:drawing>
      </w:r>
    </w:p>
    <w:p w14:paraId="304FB7E9">
      <w:pPr>
        <w:numPr>
          <w:ilvl w:val="0"/>
          <w:numId w:val="13"/>
        </w:numPr>
        <w:ind w:left="0" w:leftChars="0" w:firstLine="0" w:firstLineChars="0"/>
        <w:rPr>
          <w:rFonts w:hint="eastAsia"/>
          <w:color w:val="0000FF"/>
          <w:lang w:val="en-US" w:eastAsia="zh-CN"/>
        </w:rPr>
      </w:pPr>
      <w:r>
        <w:rPr>
          <w:rFonts w:hint="eastAsia"/>
          <w:color w:val="0000FF"/>
          <w:lang w:val="en-US" w:eastAsia="zh-CN"/>
        </w:rPr>
        <w:t>对高敏客户的赔案，在报案完成后，</w:t>
      </w:r>
      <w:r>
        <w:rPr>
          <w:rFonts w:hint="eastAsia"/>
          <w:b/>
          <w:bCs/>
          <w:color w:val="0000FF"/>
          <w:lang w:val="en-US" w:eastAsia="zh-CN"/>
        </w:rPr>
        <w:t>邮件通知</w:t>
      </w:r>
      <w:r>
        <w:rPr>
          <w:rFonts w:hint="eastAsia"/>
          <w:color w:val="0000FF"/>
          <w:lang w:val="en-US" w:eastAsia="zh-CN"/>
        </w:rPr>
        <w:t>分公司理赔负责人知晓赔案，起到监督跟进赔案进展作用。</w:t>
      </w:r>
    </w:p>
    <w:p w14:paraId="729F07D7">
      <w:pPr>
        <w:numPr>
          <w:ilvl w:val="0"/>
          <w:numId w:val="15"/>
        </w:numPr>
        <w:ind w:leftChars="0"/>
        <w:rPr>
          <w:rFonts w:hint="eastAsia"/>
          <w:b/>
          <w:bCs/>
          <w:lang w:val="en-US" w:eastAsia="zh-CN"/>
        </w:rPr>
      </w:pPr>
      <w:r>
        <w:rPr>
          <w:rFonts w:hint="eastAsia"/>
          <w:b/>
          <w:bCs/>
          <w:lang w:val="en-US" w:eastAsia="zh-CN"/>
        </w:rPr>
        <w:t>邮件说明</w:t>
      </w:r>
    </w:p>
    <w:p w14:paraId="47489515">
      <w:pPr>
        <w:numPr>
          <w:ilvl w:val="0"/>
          <w:numId w:val="16"/>
        </w:numPr>
        <w:ind w:left="420" w:leftChars="0" w:hanging="420" w:firstLineChars="0"/>
        <w:rPr>
          <w:rFonts w:hint="default"/>
          <w:lang w:val="en-US" w:eastAsia="zh-CN"/>
        </w:rPr>
      </w:pPr>
      <w:r>
        <w:rPr>
          <w:rFonts w:hint="eastAsia"/>
          <w:b/>
          <w:bCs/>
          <w:lang w:val="en-US" w:eastAsia="zh-CN"/>
        </w:rPr>
        <w:t>收件人</w:t>
      </w:r>
      <w:r>
        <w:rPr>
          <w:rFonts w:hint="eastAsia"/>
          <w:lang w:val="en-US" w:eastAsia="zh-CN"/>
        </w:rPr>
        <w:t>：保单承保机构理赔负责人；通赔案件同时发送承保地、出险地分公司理赔负责人。</w:t>
      </w:r>
    </w:p>
    <w:p w14:paraId="5CC78CE9">
      <w:pPr>
        <w:numPr>
          <w:ilvl w:val="0"/>
          <w:numId w:val="16"/>
        </w:numPr>
        <w:ind w:left="420" w:leftChars="0" w:hanging="420" w:firstLineChars="0"/>
        <w:rPr>
          <w:rFonts w:hint="eastAsia"/>
        </w:rPr>
      </w:pPr>
      <w:r>
        <w:rPr>
          <w:rFonts w:hint="eastAsia"/>
          <w:b/>
          <w:bCs/>
        </w:rPr>
        <w:t>邮件标题</w:t>
      </w:r>
      <w:r>
        <w:rPr>
          <w:rFonts w:hint="eastAsia"/>
        </w:rPr>
        <w:t>：高敏客户出险，请关注</w:t>
      </w:r>
    </w:p>
    <w:p w14:paraId="169A9A52">
      <w:pPr>
        <w:numPr>
          <w:ilvl w:val="0"/>
          <w:numId w:val="16"/>
        </w:numPr>
        <w:ind w:left="420" w:leftChars="0" w:hanging="420" w:firstLineChars="0"/>
        <w:rPr>
          <w:rFonts w:hint="eastAsia"/>
          <w:b/>
          <w:bCs/>
        </w:rPr>
      </w:pPr>
      <w:r>
        <w:rPr>
          <w:rFonts w:hint="eastAsia"/>
          <w:b/>
          <w:bCs/>
        </w:rPr>
        <w:t>邮件正文：</w:t>
      </w:r>
    </w:p>
    <w:p w14:paraId="442C1620">
      <w:pPr>
        <w:rPr>
          <w:rFonts w:hint="eastAsia"/>
        </w:rPr>
      </w:pPr>
      <w:r>
        <w:rPr>
          <w:rFonts w:hint="eastAsia"/>
          <w:lang w:val="en-US" w:eastAsia="zh-CN"/>
        </w:rPr>
        <w:t>高敏</w:t>
      </w:r>
      <w:r>
        <w:rPr>
          <w:rFonts w:hint="eastAsia"/>
        </w:rPr>
        <w:t>客户</w:t>
      </w:r>
      <w:r>
        <w:rPr>
          <w:rFonts w:hint="eastAsia"/>
          <w:lang w:val="en-US" w:eastAsia="zh-CN"/>
        </w:rPr>
        <w:t>：姓名</w:t>
      </w:r>
      <w:r>
        <w:rPr>
          <w:rFonts w:hint="eastAsia"/>
        </w:rPr>
        <w:t>，</w:t>
      </w:r>
      <w:r>
        <w:rPr>
          <w:rFonts w:hint="eastAsia"/>
          <w:lang w:val="en-US" w:eastAsia="zh-CN"/>
        </w:rPr>
        <w:t>险种：</w:t>
      </w:r>
      <w:r>
        <w:rPr>
          <w:rFonts w:hint="eastAsia"/>
        </w:rPr>
        <w:t>健康险</w:t>
      </w:r>
      <w:r>
        <w:rPr>
          <w:rFonts w:hint="eastAsia"/>
          <w:lang w:val="en-US" w:eastAsia="zh-CN"/>
        </w:rPr>
        <w:t>/</w:t>
      </w:r>
      <w:r>
        <w:rPr>
          <w:rFonts w:hint="eastAsia"/>
        </w:rPr>
        <w:t>意外险，报案号</w:t>
      </w:r>
      <w:r>
        <w:rPr>
          <w:rFonts w:hint="eastAsia"/>
          <w:lang w:val="en-US" w:eastAsia="zh-CN"/>
        </w:rPr>
        <w:t>:RXX</w:t>
      </w:r>
      <w:r>
        <w:rPr>
          <w:rFonts w:hint="eastAsia"/>
        </w:rPr>
        <w:t>，出险时间</w:t>
      </w:r>
      <w:r>
        <w:rPr>
          <w:rFonts w:hint="eastAsia"/>
          <w:lang w:eastAsia="zh-CN"/>
        </w:rPr>
        <w:t>：</w:t>
      </w:r>
      <w:r>
        <w:rPr>
          <w:rFonts w:hint="eastAsia"/>
          <w:lang w:val="en-US" w:eastAsia="zh-CN"/>
        </w:rPr>
        <w:t>年月日时分秒</w:t>
      </w:r>
      <w:r>
        <w:rPr>
          <w:rFonts w:hint="eastAsia"/>
        </w:rPr>
        <w:t>、出险地点</w:t>
      </w:r>
      <w:r>
        <w:rPr>
          <w:rFonts w:hint="eastAsia"/>
          <w:lang w:eastAsia="zh-CN"/>
        </w:rPr>
        <w:t>：</w:t>
      </w:r>
      <w:r>
        <w:rPr>
          <w:rFonts w:hint="eastAsia"/>
          <w:lang w:val="en-US" w:eastAsia="zh-CN"/>
        </w:rPr>
        <w:t>省市区详细地址</w:t>
      </w:r>
      <w:r>
        <w:rPr>
          <w:rFonts w:hint="eastAsia"/>
        </w:rPr>
        <w:t>，被保险人</w:t>
      </w:r>
      <w:r>
        <w:rPr>
          <w:rFonts w:hint="eastAsia"/>
          <w:lang w:eastAsia="zh-CN"/>
        </w:rPr>
        <w:t>：</w:t>
      </w:r>
      <w:r>
        <w:rPr>
          <w:rFonts w:hint="eastAsia"/>
          <w:lang w:val="en-US" w:eastAsia="zh-CN"/>
        </w:rPr>
        <w:t>姓名</w:t>
      </w:r>
      <w:r>
        <w:rPr>
          <w:rFonts w:hint="eastAsia"/>
        </w:rPr>
        <w:t>，出险人</w:t>
      </w:r>
      <w:r>
        <w:rPr>
          <w:rFonts w:hint="eastAsia"/>
          <w:lang w:eastAsia="zh-CN"/>
        </w:rPr>
        <w:t>：</w:t>
      </w:r>
      <w:r>
        <w:rPr>
          <w:rFonts w:hint="eastAsia"/>
        </w:rPr>
        <w:t>姓名、报案电话</w:t>
      </w:r>
      <w:r>
        <w:rPr>
          <w:rFonts w:hint="eastAsia"/>
          <w:lang w:eastAsia="zh-CN"/>
        </w:rPr>
        <w:t>：</w:t>
      </w:r>
      <w:r>
        <w:rPr>
          <w:rFonts w:hint="eastAsia"/>
          <w:lang w:val="en-US" w:eastAsia="zh-CN"/>
        </w:rPr>
        <w:t>XX</w:t>
      </w:r>
      <w:r>
        <w:rPr>
          <w:rFonts w:hint="eastAsia"/>
        </w:rPr>
        <w:t>、已调度人员姓名</w:t>
      </w:r>
      <w:r>
        <w:rPr>
          <w:rFonts w:hint="eastAsia"/>
          <w:lang w:eastAsia="zh-CN"/>
        </w:rPr>
        <w:t>：</w:t>
      </w:r>
      <w:r>
        <w:rPr>
          <w:rFonts w:hint="eastAsia"/>
          <w:lang w:val="en-US" w:eastAsia="zh-CN"/>
        </w:rPr>
        <w:t>XX，联系电话：XX。</w:t>
      </w:r>
      <w:r>
        <w:rPr>
          <w:rFonts w:hint="eastAsia"/>
        </w:rPr>
        <w:t>出险经过：XX。</w:t>
      </w:r>
    </w:p>
    <w:p w14:paraId="51B38E2D">
      <w:pPr>
        <w:numPr>
          <w:ilvl w:val="0"/>
          <w:numId w:val="16"/>
        </w:numPr>
        <w:ind w:left="420" w:leftChars="0" w:hanging="420" w:firstLineChars="0"/>
        <w:rPr>
          <w:rFonts w:hint="default" w:eastAsia="宋体"/>
          <w:lang w:val="en-US" w:eastAsia="zh-CN"/>
        </w:rPr>
      </w:pPr>
      <w:r>
        <w:rPr>
          <w:rFonts w:hint="eastAsia"/>
          <w:lang w:val="en-US" w:eastAsia="zh-CN"/>
        </w:rPr>
        <w:t>说明：“已调度人员”指案件当前处理人姓名。</w:t>
      </w:r>
    </w:p>
    <w:p w14:paraId="73E6A7EE">
      <w:pPr>
        <w:numPr>
          <w:ilvl w:val="0"/>
          <w:numId w:val="16"/>
        </w:numPr>
        <w:ind w:left="420" w:leftChars="0" w:hanging="420" w:firstLineChars="0"/>
        <w:rPr>
          <w:rFonts w:hint="default" w:eastAsia="宋体"/>
          <w:lang w:val="en-US" w:eastAsia="zh-CN"/>
        </w:rPr>
      </w:pPr>
      <w:r>
        <w:rPr>
          <w:rFonts w:hint="eastAsia"/>
          <w:lang w:val="en-US" w:eastAsia="zh-CN"/>
        </w:rPr>
        <w:t>举例：</w:t>
      </w:r>
    </w:p>
    <w:p w14:paraId="08A883FE">
      <w:pPr>
        <w:numPr>
          <w:ilvl w:val="0"/>
          <w:numId w:val="0"/>
        </w:numPr>
        <w:ind w:leftChars="0" w:firstLine="420" w:firstLineChars="0"/>
        <w:rPr>
          <w:rFonts w:hint="eastAsia"/>
          <w:lang w:val="en-US" w:eastAsia="zh-CN"/>
        </w:rPr>
      </w:pPr>
      <w:r>
        <w:rPr>
          <w:rFonts w:hint="eastAsia"/>
          <w:lang w:val="en-US" w:eastAsia="zh-CN"/>
        </w:rPr>
        <w:t>高敏客户：张高敏，险种：健康险，报案号：R7VA42025000000000000206，</w:t>
      </w:r>
    </w:p>
    <w:p w14:paraId="6AE8DC43">
      <w:pPr>
        <w:numPr>
          <w:ilvl w:val="0"/>
          <w:numId w:val="0"/>
        </w:numPr>
        <w:ind w:leftChars="0" w:firstLine="420" w:firstLineChars="0"/>
        <w:rPr>
          <w:rFonts w:hint="eastAsia"/>
          <w:lang w:val="en-US" w:eastAsia="zh-CN"/>
        </w:rPr>
      </w:pPr>
      <w:r>
        <w:rPr>
          <w:rFonts w:hint="eastAsia"/>
          <w:lang w:val="en-US" w:eastAsia="zh-CN"/>
        </w:rPr>
        <w:t>报案时间：2025-01-01 10:10，出险地点：上海市上海城区浦东新区民生路1099弄</w:t>
      </w:r>
    </w:p>
    <w:p w14:paraId="7D63C4BB">
      <w:pPr>
        <w:numPr>
          <w:ilvl w:val="0"/>
          <w:numId w:val="0"/>
        </w:numPr>
        <w:ind w:leftChars="0" w:firstLine="420" w:firstLineChars="0"/>
        <w:rPr>
          <w:rFonts w:hint="eastAsia"/>
          <w:lang w:val="en-US" w:eastAsia="zh-CN"/>
        </w:rPr>
      </w:pPr>
      <w:r>
        <w:rPr>
          <w:rFonts w:hint="eastAsia"/>
          <w:lang w:val="en-US" w:eastAsia="zh-CN"/>
        </w:rPr>
        <w:t>被保险人：张高敏，出险人：张高敏</w:t>
      </w:r>
    </w:p>
    <w:p w14:paraId="0F5B3BE0">
      <w:pPr>
        <w:numPr>
          <w:ilvl w:val="0"/>
          <w:numId w:val="0"/>
        </w:numPr>
        <w:ind w:leftChars="0" w:firstLine="420" w:firstLineChars="0"/>
        <w:rPr>
          <w:rFonts w:hint="eastAsia"/>
          <w:lang w:val="en-US" w:eastAsia="zh-CN"/>
        </w:rPr>
      </w:pPr>
      <w:r>
        <w:rPr>
          <w:rFonts w:hint="eastAsia"/>
          <w:lang w:val="en-US" w:eastAsia="zh-CN"/>
        </w:rPr>
        <w:t>已调度人员姓名：王滨，联系电话：17655555555</w:t>
      </w:r>
    </w:p>
    <w:p w14:paraId="2CF2440F">
      <w:pPr>
        <w:numPr>
          <w:ilvl w:val="0"/>
          <w:numId w:val="0"/>
        </w:numPr>
        <w:ind w:leftChars="0" w:firstLine="420" w:firstLineChars="0"/>
        <w:rPr>
          <w:rFonts w:hint="eastAsia"/>
          <w:lang w:val="en-US" w:eastAsia="zh-CN"/>
        </w:rPr>
      </w:pPr>
      <w:r>
        <w:rPr>
          <w:rFonts w:hint="eastAsia"/>
          <w:lang w:val="en-US" w:eastAsia="zh-CN"/>
        </w:rPr>
        <w:t>出险经过：2025-01-01 10:10张高敏在上海市上海城区浦东新区-(310115民生路1099弄地发生疾病事故。</w:t>
      </w:r>
    </w:p>
    <w:p w14:paraId="672F3E4A">
      <w:pPr>
        <w:numPr>
          <w:ilvl w:val="0"/>
          <w:numId w:val="0"/>
        </w:numPr>
        <w:ind w:leftChars="0" w:firstLine="420" w:firstLineChars="0"/>
        <w:rPr>
          <w:rFonts w:hint="default"/>
          <w:lang w:val="en-US" w:eastAsia="zh-CN"/>
        </w:rPr>
      </w:pPr>
    </w:p>
    <w:p w14:paraId="75651964">
      <w:pPr>
        <w:numPr>
          <w:ilvl w:val="0"/>
          <w:numId w:val="15"/>
        </w:numPr>
        <w:ind w:left="0" w:leftChars="0" w:firstLine="0" w:firstLineChars="0"/>
        <w:rPr>
          <w:rFonts w:hint="eastAsia"/>
          <w:color w:val="0000FF"/>
          <w:lang w:val="en-US" w:eastAsia="zh-CN"/>
        </w:rPr>
      </w:pPr>
      <w:r>
        <w:rPr>
          <w:rFonts w:hint="eastAsia"/>
          <w:color w:val="0000FF"/>
          <w:lang w:val="en-US" w:eastAsia="zh-CN"/>
        </w:rPr>
        <w:t>收件人配置功能，复用现有【邮件通知信息维护查询】功能</w:t>
      </w:r>
    </w:p>
    <w:p w14:paraId="76BAA966">
      <w:pPr>
        <w:numPr>
          <w:ilvl w:val="0"/>
          <w:numId w:val="17"/>
        </w:numPr>
        <w:ind w:left="420" w:leftChars="0" w:hanging="420" w:firstLineChars="0"/>
        <w:rPr>
          <w:rFonts w:hint="eastAsia"/>
          <w:lang w:val="en-US" w:eastAsia="zh-CN"/>
        </w:rPr>
      </w:pPr>
      <w:r>
        <w:rPr>
          <w:rFonts w:hint="eastAsia"/>
          <w:lang w:val="en-US" w:eastAsia="zh-CN"/>
        </w:rPr>
        <w:t>通知类型新增：高敏客户出险通知</w:t>
      </w:r>
    </w:p>
    <w:p w14:paraId="31A7462E">
      <w:pPr>
        <w:numPr>
          <w:ilvl w:val="0"/>
          <w:numId w:val="0"/>
        </w:numPr>
        <w:ind w:leftChars="0"/>
      </w:pPr>
      <w:r>
        <w:drawing>
          <wp:inline distT="0" distB="0" distL="114300" distR="114300">
            <wp:extent cx="5272405" cy="2085975"/>
            <wp:effectExtent l="0" t="0" r="4445" b="9525"/>
            <wp:docPr id="10"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
                    <pic:cNvPicPr>
                      <a:picLocks noChangeAspect="1"/>
                    </pic:cNvPicPr>
                  </pic:nvPicPr>
                  <pic:blipFill>
                    <a:blip r:embed="rId17"/>
                    <a:stretch>
                      <a:fillRect/>
                    </a:stretch>
                  </pic:blipFill>
                  <pic:spPr>
                    <a:xfrm>
                      <a:off x="0" y="0"/>
                      <a:ext cx="5272405" cy="2085975"/>
                    </a:xfrm>
                    <a:prstGeom prst="rect">
                      <a:avLst/>
                    </a:prstGeom>
                    <a:noFill/>
                    <a:ln>
                      <a:noFill/>
                    </a:ln>
                  </pic:spPr>
                </pic:pic>
              </a:graphicData>
            </a:graphic>
          </wp:inline>
        </w:drawing>
      </w:r>
    </w:p>
    <w:p w14:paraId="42D67AE1">
      <w:pPr>
        <w:numPr>
          <w:ilvl w:val="0"/>
          <w:numId w:val="17"/>
        </w:numPr>
        <w:ind w:left="420" w:leftChars="0" w:hanging="420" w:firstLineChars="0"/>
        <w:rPr>
          <w:rFonts w:hint="default"/>
          <w:lang w:val="en-US" w:eastAsia="zh-CN"/>
        </w:rPr>
      </w:pPr>
      <w:r>
        <w:rPr>
          <w:rFonts w:hint="eastAsia"/>
          <w:lang w:val="en-US" w:eastAsia="zh-CN"/>
        </w:rPr>
        <w:t>高敏客户出险通知的邮箱维护模板复用现有功能，功能上线前，由理赔部提供每个机构2个角色（收件人、其他抄送人员）的人员信息，IT初始化到系统中，每个分公司默认2个角色（收件人、其他抄送人员），</w:t>
      </w:r>
      <w:r>
        <w:rPr>
          <w:rFonts w:hint="eastAsia"/>
          <w:b/>
          <w:bCs/>
          <w:lang w:val="en-US" w:eastAsia="zh-CN"/>
        </w:rPr>
        <w:t>收件人</w:t>
      </w:r>
      <w:r>
        <w:rPr>
          <w:rFonts w:hint="eastAsia"/>
          <w:lang w:val="en-US" w:eastAsia="zh-CN"/>
        </w:rPr>
        <w:t>至少要有1个邮箱，</w:t>
      </w:r>
      <w:r>
        <w:rPr>
          <w:rFonts w:hint="eastAsia"/>
          <w:b/>
          <w:bCs/>
          <w:lang w:val="en-US" w:eastAsia="zh-CN"/>
        </w:rPr>
        <w:t>其他抄送人员</w:t>
      </w:r>
      <w:r>
        <w:rPr>
          <w:rFonts w:hint="eastAsia"/>
          <w:lang w:val="en-US" w:eastAsia="zh-CN"/>
        </w:rPr>
        <w:t>允许为空，为空则系统空置，查询结果中空展示，允许人工通过查询结果的“编辑”功能进行添加、修改。</w:t>
      </w:r>
    </w:p>
    <w:p w14:paraId="7BD32C1B">
      <w:pPr>
        <w:pStyle w:val="3"/>
        <w:rPr>
          <w:rFonts w:ascii="宋体" w:hAnsi="宋体" w:eastAsia="宋体" w:cs="宋体"/>
          <w:snapToGrid w:val="0"/>
          <w:kern w:val="0"/>
        </w:rPr>
      </w:pPr>
      <w:bookmarkStart w:id="33" w:name="_Toc22656"/>
      <w:r>
        <w:rPr>
          <w:rFonts w:hint="eastAsia" w:ascii="宋体" w:hAnsi="宋体" w:eastAsia="宋体" w:cs="宋体"/>
          <w:snapToGrid w:val="0"/>
          <w:kern w:val="0"/>
        </w:rPr>
        <w:t>用例</w:t>
      </w:r>
      <w:r>
        <w:rPr>
          <w:rFonts w:hint="eastAsia" w:ascii="宋体" w:hAnsi="宋体" w:eastAsia="宋体" w:cs="宋体"/>
          <w:snapToGrid w:val="0"/>
          <w:kern w:val="0"/>
          <w:lang w:val="en-US" w:eastAsia="zh-CN"/>
        </w:rPr>
        <w:t>6</w:t>
      </w:r>
      <w:r>
        <w:rPr>
          <w:rFonts w:hint="eastAsia" w:ascii="宋体" w:hAnsi="宋体" w:eastAsia="宋体" w:cs="宋体"/>
          <w:snapToGrid w:val="0"/>
          <w:kern w:val="0"/>
        </w:rPr>
        <w:t xml:space="preserve"> </w:t>
      </w:r>
      <w:r>
        <w:rPr>
          <w:rFonts w:hint="eastAsia" w:ascii="宋体" w:hAnsi="宋体" w:eastAsia="宋体" w:cs="宋体"/>
          <w:snapToGrid w:val="0"/>
          <w:kern w:val="0"/>
          <w:lang w:val="en-US" w:eastAsia="zh-CN"/>
        </w:rPr>
        <w:t>财产险理赔系统</w:t>
      </w:r>
      <w:bookmarkEnd w:id="33"/>
    </w:p>
    <w:p w14:paraId="58ADC33A">
      <w:pPr>
        <w:pStyle w:val="4"/>
        <w:rPr>
          <w:rFonts w:ascii="宋体" w:hAnsi="宋体" w:cs="宋体"/>
          <w:snapToGrid w:val="0"/>
          <w:kern w:val="0"/>
          <w:sz w:val="24"/>
          <w:szCs w:val="24"/>
        </w:rPr>
      </w:pPr>
      <w:bookmarkStart w:id="34" w:name="_Toc15250"/>
      <w:r>
        <w:rPr>
          <w:rFonts w:hint="eastAsia" w:ascii="宋体" w:hAnsi="宋体" w:cs="宋体"/>
          <w:snapToGrid w:val="0"/>
          <w:kern w:val="0"/>
          <w:sz w:val="24"/>
          <w:szCs w:val="24"/>
        </w:rPr>
        <w:t>功能描述</w:t>
      </w:r>
      <w:bookmarkEnd w:id="34"/>
    </w:p>
    <w:p w14:paraId="490E1930">
      <w:pPr>
        <w:rPr>
          <w:rFonts w:hint="eastAsia" w:ascii="宋体" w:hAnsi="宋体" w:cs="宋体"/>
          <w:snapToGrid w:val="0"/>
          <w:kern w:val="0"/>
          <w:sz w:val="24"/>
          <w:szCs w:val="24"/>
          <w:lang w:val="en-US" w:eastAsia="zh-CN"/>
        </w:rPr>
      </w:pPr>
      <w:r>
        <w:rPr>
          <w:rFonts w:hint="eastAsia" w:ascii="宋体" w:hAnsi="宋体" w:cs="宋体"/>
          <w:snapToGrid w:val="0"/>
          <w:kern w:val="0"/>
          <w:sz w:val="24"/>
          <w:szCs w:val="24"/>
          <w:lang w:val="en-US" w:eastAsia="zh-CN"/>
        </w:rPr>
        <w:t>参考意健险理赔。报案来源不含全流程自动生成的赔案。具体需求内容见下方附件：</w:t>
      </w:r>
    </w:p>
    <w:p w14:paraId="10010883">
      <w:pPr>
        <w:rPr>
          <w:rFonts w:hint="default" w:ascii="宋体" w:hAnsi="宋体" w:cs="宋体"/>
          <w:snapToGrid w:val="0"/>
          <w:kern w:val="0"/>
          <w:sz w:val="24"/>
          <w:szCs w:val="24"/>
          <w:lang w:val="en-US" w:eastAsia="zh-CN"/>
        </w:rPr>
      </w:pPr>
      <w:r>
        <w:rPr>
          <w:rFonts w:hint="default" w:ascii="宋体" w:hAnsi="宋体" w:cs="宋体"/>
          <w:snapToGrid w:val="0"/>
          <w:kern w:val="0"/>
          <w:sz w:val="24"/>
          <w:szCs w:val="24"/>
          <w:lang w:val="en-US" w:eastAsia="zh-CN"/>
        </w:rPr>
        <w:object>
          <v:shape id="_x0000_i1025" o:spt="75" type="#_x0000_t75" style="height:66pt;width:72.75pt;" o:ole="t" filled="f" o:preferrelative="t" stroked="f" coordsize="21600,21600">
            <v:fill on="f" focussize="0,0"/>
            <v:stroke on="f"/>
            <v:imagedata r:id="rId19" o:title=""/>
            <o:lock v:ext="edit" aspectratio="t"/>
            <w10:wrap type="none"/>
            <w10:anchorlock/>
          </v:shape>
          <o:OLEObject Type="Embed" ProgID="Word.Document.12" ShapeID="_x0000_i1025" DrawAspect="Icon" ObjectID="_1468075725" r:id="rId18">
            <o:LockedField>false</o:LockedField>
          </o:OLEObject>
        </w:object>
      </w:r>
    </w:p>
    <w:p w14:paraId="4FF62113">
      <w:pPr>
        <w:pStyle w:val="3"/>
        <w:rPr>
          <w:rFonts w:ascii="宋体" w:hAnsi="宋体" w:eastAsia="宋体" w:cs="宋体"/>
          <w:snapToGrid w:val="0"/>
          <w:kern w:val="0"/>
        </w:rPr>
      </w:pPr>
      <w:bookmarkStart w:id="35" w:name="_Toc23759"/>
      <w:r>
        <w:rPr>
          <w:rFonts w:hint="eastAsia" w:ascii="宋体" w:hAnsi="宋体" w:eastAsia="宋体" w:cs="宋体"/>
          <w:snapToGrid w:val="0"/>
          <w:kern w:val="0"/>
        </w:rPr>
        <w:t>用例</w:t>
      </w:r>
      <w:r>
        <w:rPr>
          <w:rFonts w:hint="eastAsia" w:ascii="宋体" w:hAnsi="宋体" w:eastAsia="宋体" w:cs="宋体"/>
          <w:snapToGrid w:val="0"/>
          <w:kern w:val="0"/>
          <w:lang w:val="en-US" w:eastAsia="zh-CN"/>
        </w:rPr>
        <w:t>7</w:t>
      </w:r>
      <w:r>
        <w:rPr>
          <w:rFonts w:hint="eastAsia" w:ascii="宋体" w:hAnsi="宋体" w:eastAsia="宋体" w:cs="宋体"/>
          <w:snapToGrid w:val="0"/>
          <w:kern w:val="0"/>
        </w:rPr>
        <w:t xml:space="preserve"> </w:t>
      </w:r>
      <w:r>
        <w:rPr>
          <w:rFonts w:hint="eastAsia" w:ascii="宋体" w:hAnsi="宋体" w:eastAsia="宋体" w:cs="宋体"/>
          <w:snapToGrid w:val="0"/>
          <w:kern w:val="0"/>
          <w:lang w:val="en-US" w:eastAsia="zh-CN"/>
        </w:rPr>
        <w:t>全媒体客服系统CC</w:t>
      </w:r>
      <w:bookmarkEnd w:id="35"/>
    </w:p>
    <w:p w14:paraId="6AD09FEA">
      <w:pPr>
        <w:pStyle w:val="4"/>
        <w:rPr>
          <w:rFonts w:ascii="宋体" w:hAnsi="宋体" w:cs="宋体"/>
          <w:snapToGrid w:val="0"/>
          <w:kern w:val="0"/>
          <w:sz w:val="24"/>
          <w:szCs w:val="24"/>
        </w:rPr>
      </w:pPr>
      <w:bookmarkStart w:id="36" w:name="_Toc17708"/>
      <w:r>
        <w:rPr>
          <w:rFonts w:hint="eastAsia" w:ascii="宋体" w:hAnsi="宋体" w:cs="宋体"/>
          <w:snapToGrid w:val="0"/>
          <w:kern w:val="0"/>
          <w:sz w:val="24"/>
          <w:szCs w:val="24"/>
        </w:rPr>
        <w:t>功能描述</w:t>
      </w:r>
      <w:bookmarkEnd w:id="36"/>
    </w:p>
    <w:p w14:paraId="7D31BC0E">
      <w:pPr>
        <w:numPr>
          <w:ilvl w:val="0"/>
          <w:numId w:val="18"/>
        </w:numPr>
        <w:rPr>
          <w:rFonts w:hint="default" w:eastAsia="宋体"/>
          <w:lang w:val="en-US" w:eastAsia="zh-CN"/>
        </w:rPr>
      </w:pPr>
      <w:r>
        <w:rPr>
          <w:rFonts w:hint="eastAsia"/>
          <w:lang w:val="en-US" w:eastAsia="zh-CN"/>
        </w:rPr>
        <w:t>通过全媒体客服系统报案的案件，由全媒体客服系统查询案件是否为高敏客户案件，并将查询结果随报案信息接口同步到各理赔系统，以便各理赔知晓案件的高敏客户情况。</w:t>
      </w:r>
    </w:p>
    <w:p w14:paraId="112EA886">
      <w:pPr>
        <w:numPr>
          <w:ilvl w:val="0"/>
          <w:numId w:val="18"/>
        </w:numPr>
        <w:rPr>
          <w:rFonts w:hint="default" w:eastAsia="宋体"/>
          <w:lang w:val="en-US" w:eastAsia="zh-CN"/>
        </w:rPr>
      </w:pPr>
      <w:r>
        <w:rPr>
          <w:rFonts w:hint="eastAsia"/>
          <w:lang w:val="en-US" w:eastAsia="zh-CN"/>
        </w:rPr>
        <w:t>通过</w:t>
      </w:r>
      <w:r>
        <w:rPr>
          <w:rFonts w:hint="eastAsia"/>
          <w:color w:val="0000FF"/>
          <w:lang w:val="en-US" w:eastAsia="zh-CN"/>
        </w:rPr>
        <w:t>车险理赔</w:t>
      </w:r>
      <w:r>
        <w:rPr>
          <w:rFonts w:hint="eastAsia"/>
          <w:lang w:val="en-US" w:eastAsia="zh-CN"/>
        </w:rPr>
        <w:t>、意健险理赔、财产险理赔柜面报案的案件，由理赔系统查询案件的高敏客户情况并通过报案信息同步接口同步到全媒体客服系统，以便全媒体客服系统记录案件的高敏客户情况，并对后续理赔同步的案件状态（针对高敏客户开发的，详见需求：后援支持中心20250912140553R-关于高敏客户服方案的需求（CC以及CC与理赔交互需求））正常接收、展示。</w:t>
      </w:r>
    </w:p>
    <w:p w14:paraId="7C3860F1">
      <w:pPr>
        <w:rPr>
          <w:rFonts w:hint="default" w:ascii="宋体" w:hAnsi="宋体" w:cs="宋体"/>
          <w:snapToGrid w:val="0"/>
          <w:kern w:val="0"/>
          <w:sz w:val="24"/>
          <w:szCs w:val="24"/>
          <w:lang w:val="en-US" w:eastAsia="zh-CN"/>
        </w:rPr>
      </w:pPr>
    </w:p>
    <w:p w14:paraId="6D8FC660">
      <w:pPr>
        <w:pStyle w:val="4"/>
        <w:rPr>
          <w:rFonts w:ascii="宋体" w:hAnsi="宋体" w:cs="宋体"/>
        </w:rPr>
      </w:pPr>
      <w:bookmarkStart w:id="37" w:name="_Toc25993"/>
      <w:r>
        <w:rPr>
          <w:rFonts w:hint="eastAsia" w:ascii="宋体" w:hAnsi="宋体" w:cs="宋体"/>
          <w:snapToGrid w:val="0"/>
          <w:kern w:val="0"/>
          <w:sz w:val="24"/>
          <w:szCs w:val="24"/>
        </w:rPr>
        <w:t>业务规则</w:t>
      </w:r>
      <w:bookmarkEnd w:id="37"/>
    </w:p>
    <w:bookmarkEnd w:id="26"/>
    <w:bookmarkEnd w:id="27"/>
    <w:bookmarkEnd w:id="28"/>
    <w:p w14:paraId="6CE57F4A">
      <w:pPr>
        <w:pStyle w:val="3"/>
        <w:rPr>
          <w:rFonts w:ascii="宋体" w:hAnsi="宋体" w:eastAsia="宋体" w:cs="宋体"/>
          <w:snapToGrid w:val="0"/>
          <w:kern w:val="0"/>
        </w:rPr>
      </w:pPr>
      <w:bookmarkStart w:id="38" w:name="_Toc374005706"/>
      <w:bookmarkStart w:id="39" w:name="_Toc32516"/>
      <w:r>
        <w:rPr>
          <w:rFonts w:hint="eastAsia" w:ascii="宋体" w:hAnsi="宋体" w:eastAsia="宋体" w:cs="宋体"/>
          <w:snapToGrid w:val="0"/>
          <w:kern w:val="0"/>
        </w:rPr>
        <w:t>与外部系统接口</w:t>
      </w:r>
      <w:bookmarkEnd w:id="38"/>
      <w:bookmarkEnd w:id="39"/>
    </w:p>
    <w:p w14:paraId="6DDBE9F4">
      <w:pPr>
        <w:pStyle w:val="3"/>
        <w:rPr>
          <w:rFonts w:ascii="宋体" w:hAnsi="宋体" w:eastAsia="宋体" w:cs="宋体"/>
          <w:snapToGrid w:val="0"/>
          <w:kern w:val="0"/>
        </w:rPr>
      </w:pPr>
      <w:bookmarkStart w:id="40" w:name="_Toc374005707"/>
      <w:bookmarkStart w:id="41" w:name="_Toc28174"/>
      <w:r>
        <w:rPr>
          <w:rFonts w:hint="eastAsia" w:ascii="宋体" w:hAnsi="宋体" w:eastAsia="宋体" w:cs="宋体"/>
          <w:snapToGrid w:val="0"/>
          <w:kern w:val="0"/>
        </w:rPr>
        <w:t>关联需求</w:t>
      </w:r>
      <w:bookmarkEnd w:id="40"/>
      <w:bookmarkEnd w:id="41"/>
    </w:p>
    <w:p w14:paraId="55BDAB62">
      <w:pPr>
        <w:pStyle w:val="3"/>
        <w:rPr>
          <w:rFonts w:ascii="宋体" w:hAnsi="宋体" w:eastAsia="宋体" w:cs="宋体"/>
          <w:snapToGrid w:val="0"/>
          <w:kern w:val="0"/>
        </w:rPr>
      </w:pPr>
      <w:bookmarkStart w:id="42" w:name="_Toc11498"/>
      <w:r>
        <w:rPr>
          <w:rFonts w:hint="eastAsia" w:ascii="宋体" w:hAnsi="宋体" w:eastAsia="宋体" w:cs="宋体"/>
          <w:snapToGrid w:val="0"/>
          <w:kern w:val="0"/>
        </w:rPr>
        <w:t>历史数据处理</w:t>
      </w:r>
      <w:bookmarkEnd w:id="42"/>
    </w:p>
    <w:p w14:paraId="49AEBEA0">
      <w:pPr>
        <w:pStyle w:val="3"/>
        <w:rPr>
          <w:rFonts w:ascii="宋体" w:hAnsi="宋体" w:eastAsia="宋体" w:cs="宋体"/>
          <w:snapToGrid w:val="0"/>
          <w:kern w:val="0"/>
        </w:rPr>
      </w:pPr>
      <w:bookmarkStart w:id="43" w:name="_Toc20763"/>
      <w:r>
        <w:rPr>
          <w:rFonts w:hint="eastAsia" w:ascii="宋体" w:hAnsi="宋体" w:eastAsia="宋体" w:cs="宋体"/>
          <w:snapToGrid w:val="0"/>
          <w:kern w:val="0"/>
        </w:rPr>
        <w:t>相关附件</w:t>
      </w:r>
      <w:bookmarkEnd w:id="43"/>
    </w:p>
    <w:tbl>
      <w:tblPr>
        <w:tblStyle w:val="11"/>
        <w:tblW w:w="8989" w:type="dxa"/>
        <w:tblInd w:w="3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30" w:type="dxa"/>
          <w:bottom w:w="0" w:type="dxa"/>
          <w:right w:w="30" w:type="dxa"/>
        </w:tblCellMar>
      </w:tblPr>
      <w:tblGrid>
        <w:gridCol w:w="1282"/>
        <w:gridCol w:w="3111"/>
        <w:gridCol w:w="2378"/>
        <w:gridCol w:w="2218"/>
      </w:tblGrid>
      <w:tr w14:paraId="17F9D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645" w:hRule="atLeast"/>
        </w:trPr>
        <w:tc>
          <w:tcPr>
            <w:tcW w:w="1282" w:type="dxa"/>
            <w:tcBorders>
              <w:top w:val="single" w:color="auto" w:sz="4" w:space="0"/>
              <w:left w:val="single" w:color="auto" w:sz="4" w:space="0"/>
              <w:bottom w:val="single" w:color="auto" w:sz="4" w:space="0"/>
              <w:right w:val="single" w:color="auto" w:sz="4" w:space="0"/>
            </w:tcBorders>
            <w:vAlign w:val="center"/>
          </w:tcPr>
          <w:p w14:paraId="75FEE4EF">
            <w:pPr>
              <w:autoSpaceDE w:val="0"/>
              <w:autoSpaceDN w:val="0"/>
              <w:adjustRightInd w:val="0"/>
              <w:jc w:val="center"/>
              <w:rPr>
                <w:rFonts w:ascii="宋体" w:hAnsi="宋体" w:cs="宋体"/>
                <w:szCs w:val="21"/>
              </w:rPr>
            </w:pPr>
            <w:r>
              <w:rPr>
                <w:rFonts w:hint="eastAsia" w:ascii="宋体" w:hAnsi="宋体" w:cs="宋体"/>
                <w:szCs w:val="21"/>
              </w:rPr>
              <w:t>No.</w:t>
            </w:r>
          </w:p>
        </w:tc>
        <w:tc>
          <w:tcPr>
            <w:tcW w:w="3111" w:type="dxa"/>
            <w:tcBorders>
              <w:top w:val="single" w:color="auto" w:sz="4" w:space="0"/>
              <w:left w:val="single" w:color="auto" w:sz="4" w:space="0"/>
              <w:bottom w:val="single" w:color="auto" w:sz="4" w:space="0"/>
              <w:right w:val="single" w:color="auto" w:sz="4" w:space="0"/>
            </w:tcBorders>
            <w:vAlign w:val="center"/>
          </w:tcPr>
          <w:p w14:paraId="5355D023">
            <w:pPr>
              <w:autoSpaceDE w:val="0"/>
              <w:autoSpaceDN w:val="0"/>
              <w:adjustRightInd w:val="0"/>
              <w:jc w:val="center"/>
              <w:rPr>
                <w:rFonts w:ascii="宋体" w:hAnsi="宋体" w:cs="宋体"/>
                <w:szCs w:val="21"/>
              </w:rPr>
            </w:pPr>
            <w:r>
              <w:rPr>
                <w:rFonts w:hint="eastAsia" w:ascii="宋体" w:hAnsi="宋体" w:cs="宋体"/>
                <w:szCs w:val="21"/>
              </w:rPr>
              <w:t>资料名称/版本</w:t>
            </w:r>
          </w:p>
        </w:tc>
        <w:tc>
          <w:tcPr>
            <w:tcW w:w="2378" w:type="dxa"/>
            <w:tcBorders>
              <w:top w:val="single" w:color="auto" w:sz="4" w:space="0"/>
              <w:left w:val="single" w:color="auto" w:sz="4" w:space="0"/>
              <w:bottom w:val="single" w:color="auto" w:sz="4" w:space="0"/>
              <w:right w:val="single" w:color="auto" w:sz="4" w:space="0"/>
            </w:tcBorders>
            <w:vAlign w:val="center"/>
          </w:tcPr>
          <w:p w14:paraId="314301BD">
            <w:pPr>
              <w:autoSpaceDE w:val="0"/>
              <w:autoSpaceDN w:val="0"/>
              <w:adjustRightInd w:val="0"/>
              <w:jc w:val="center"/>
              <w:rPr>
                <w:rFonts w:ascii="宋体" w:hAnsi="宋体" w:cs="宋体"/>
                <w:szCs w:val="21"/>
              </w:rPr>
            </w:pPr>
            <w:r>
              <w:rPr>
                <w:rFonts w:hint="eastAsia" w:ascii="宋体" w:hAnsi="宋体" w:cs="宋体"/>
                <w:szCs w:val="21"/>
              </w:rPr>
              <w:t>资料标识</w:t>
            </w:r>
          </w:p>
        </w:tc>
        <w:tc>
          <w:tcPr>
            <w:tcW w:w="2218" w:type="dxa"/>
            <w:tcBorders>
              <w:top w:val="single" w:color="auto" w:sz="4" w:space="0"/>
              <w:left w:val="single" w:color="auto" w:sz="4" w:space="0"/>
              <w:bottom w:val="single" w:color="auto" w:sz="4" w:space="0"/>
              <w:right w:val="single" w:color="auto" w:sz="4" w:space="0"/>
            </w:tcBorders>
            <w:vAlign w:val="center"/>
          </w:tcPr>
          <w:p w14:paraId="503D29EC">
            <w:pPr>
              <w:autoSpaceDE w:val="0"/>
              <w:autoSpaceDN w:val="0"/>
              <w:adjustRightInd w:val="0"/>
              <w:jc w:val="center"/>
              <w:rPr>
                <w:rFonts w:ascii="宋体" w:hAnsi="宋体" w:cs="宋体"/>
                <w:szCs w:val="21"/>
              </w:rPr>
            </w:pPr>
            <w:r>
              <w:rPr>
                <w:rFonts w:hint="eastAsia" w:ascii="宋体" w:hAnsi="宋体" w:cs="宋体"/>
                <w:szCs w:val="21"/>
              </w:rPr>
              <w:t>资料来源</w:t>
            </w:r>
          </w:p>
        </w:tc>
      </w:tr>
      <w:tr w14:paraId="368EA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645" w:hRule="atLeast"/>
        </w:trPr>
        <w:tc>
          <w:tcPr>
            <w:tcW w:w="1282" w:type="dxa"/>
            <w:tcBorders>
              <w:top w:val="single" w:color="auto" w:sz="4" w:space="0"/>
              <w:left w:val="single" w:color="auto" w:sz="4" w:space="0"/>
              <w:bottom w:val="single" w:color="auto" w:sz="4" w:space="0"/>
              <w:right w:val="single" w:color="auto" w:sz="4" w:space="0"/>
            </w:tcBorders>
            <w:vAlign w:val="center"/>
          </w:tcPr>
          <w:p w14:paraId="38958A2F">
            <w:pPr>
              <w:autoSpaceDE w:val="0"/>
              <w:autoSpaceDN w:val="0"/>
              <w:adjustRightInd w:val="0"/>
              <w:jc w:val="center"/>
              <w:rPr>
                <w:rFonts w:ascii="宋体" w:hAnsi="宋体" w:cs="宋体"/>
                <w:szCs w:val="21"/>
              </w:rPr>
            </w:pPr>
            <w:r>
              <w:rPr>
                <w:rFonts w:hint="eastAsia" w:ascii="宋体" w:hAnsi="宋体" w:cs="宋体"/>
                <w:szCs w:val="21"/>
              </w:rPr>
              <w:t>1</w:t>
            </w:r>
          </w:p>
        </w:tc>
        <w:tc>
          <w:tcPr>
            <w:tcW w:w="3111" w:type="dxa"/>
            <w:tcBorders>
              <w:top w:val="single" w:color="auto" w:sz="4" w:space="0"/>
              <w:left w:val="single" w:color="auto" w:sz="4" w:space="0"/>
              <w:bottom w:val="single" w:color="auto" w:sz="4" w:space="0"/>
              <w:right w:val="single" w:color="auto" w:sz="4" w:space="0"/>
            </w:tcBorders>
            <w:vAlign w:val="center"/>
          </w:tcPr>
          <w:p w14:paraId="7F6415A9">
            <w:pPr>
              <w:autoSpaceDE w:val="0"/>
              <w:autoSpaceDN w:val="0"/>
              <w:adjustRightInd w:val="0"/>
              <w:rPr>
                <w:rFonts w:ascii="宋体" w:hAnsi="宋体" w:cs="宋体"/>
                <w:szCs w:val="21"/>
              </w:rPr>
            </w:pPr>
          </w:p>
        </w:tc>
        <w:tc>
          <w:tcPr>
            <w:tcW w:w="2378" w:type="dxa"/>
            <w:tcBorders>
              <w:top w:val="single" w:color="auto" w:sz="4" w:space="0"/>
              <w:left w:val="single" w:color="auto" w:sz="4" w:space="0"/>
              <w:bottom w:val="single" w:color="auto" w:sz="4" w:space="0"/>
              <w:right w:val="single" w:color="auto" w:sz="4" w:space="0"/>
            </w:tcBorders>
            <w:vAlign w:val="center"/>
          </w:tcPr>
          <w:p w14:paraId="49C5FB6F">
            <w:pPr>
              <w:autoSpaceDE w:val="0"/>
              <w:autoSpaceDN w:val="0"/>
              <w:adjustRightInd w:val="0"/>
              <w:jc w:val="center"/>
              <w:rPr>
                <w:rFonts w:ascii="宋体" w:hAnsi="宋体" w:cs="宋体"/>
                <w:szCs w:val="21"/>
              </w:rPr>
            </w:pPr>
          </w:p>
        </w:tc>
        <w:tc>
          <w:tcPr>
            <w:tcW w:w="2218" w:type="dxa"/>
            <w:tcBorders>
              <w:top w:val="single" w:color="auto" w:sz="4" w:space="0"/>
              <w:left w:val="single" w:color="auto" w:sz="4" w:space="0"/>
              <w:bottom w:val="single" w:color="auto" w:sz="4" w:space="0"/>
              <w:right w:val="single" w:color="auto" w:sz="4" w:space="0"/>
            </w:tcBorders>
            <w:vAlign w:val="center"/>
          </w:tcPr>
          <w:p w14:paraId="7936E6E7">
            <w:pPr>
              <w:autoSpaceDE w:val="0"/>
              <w:autoSpaceDN w:val="0"/>
              <w:adjustRightInd w:val="0"/>
              <w:jc w:val="center"/>
              <w:rPr>
                <w:rFonts w:ascii="宋体" w:hAnsi="宋体" w:cs="宋体"/>
                <w:szCs w:val="21"/>
              </w:rPr>
            </w:pPr>
          </w:p>
        </w:tc>
      </w:tr>
      <w:tr w14:paraId="1C367F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645" w:hRule="atLeast"/>
        </w:trPr>
        <w:tc>
          <w:tcPr>
            <w:tcW w:w="1282" w:type="dxa"/>
            <w:tcBorders>
              <w:top w:val="single" w:color="auto" w:sz="4" w:space="0"/>
              <w:left w:val="single" w:color="auto" w:sz="4" w:space="0"/>
              <w:bottom w:val="single" w:color="auto" w:sz="4" w:space="0"/>
              <w:right w:val="single" w:color="auto" w:sz="4" w:space="0"/>
            </w:tcBorders>
            <w:vAlign w:val="center"/>
          </w:tcPr>
          <w:p w14:paraId="530924A5">
            <w:pPr>
              <w:autoSpaceDE w:val="0"/>
              <w:autoSpaceDN w:val="0"/>
              <w:adjustRightInd w:val="0"/>
              <w:jc w:val="center"/>
              <w:rPr>
                <w:rFonts w:ascii="宋体" w:hAnsi="宋体" w:cs="宋体"/>
                <w:szCs w:val="21"/>
              </w:rPr>
            </w:pPr>
            <w:r>
              <w:rPr>
                <w:rFonts w:hint="eastAsia" w:ascii="宋体" w:hAnsi="宋体" w:cs="宋体"/>
                <w:szCs w:val="21"/>
              </w:rPr>
              <w:t>2</w:t>
            </w:r>
          </w:p>
        </w:tc>
        <w:tc>
          <w:tcPr>
            <w:tcW w:w="3111" w:type="dxa"/>
            <w:tcBorders>
              <w:top w:val="single" w:color="auto" w:sz="4" w:space="0"/>
              <w:left w:val="single" w:color="auto" w:sz="4" w:space="0"/>
              <w:bottom w:val="single" w:color="auto" w:sz="4" w:space="0"/>
              <w:right w:val="single" w:color="auto" w:sz="4" w:space="0"/>
            </w:tcBorders>
            <w:vAlign w:val="center"/>
          </w:tcPr>
          <w:p w14:paraId="7E7F0A49">
            <w:pPr>
              <w:autoSpaceDE w:val="0"/>
              <w:autoSpaceDN w:val="0"/>
              <w:adjustRightInd w:val="0"/>
              <w:rPr>
                <w:rFonts w:ascii="宋体" w:hAnsi="宋体" w:cs="宋体"/>
                <w:szCs w:val="21"/>
              </w:rPr>
            </w:pPr>
          </w:p>
        </w:tc>
        <w:tc>
          <w:tcPr>
            <w:tcW w:w="2378" w:type="dxa"/>
            <w:tcBorders>
              <w:top w:val="single" w:color="auto" w:sz="4" w:space="0"/>
              <w:left w:val="single" w:color="auto" w:sz="4" w:space="0"/>
              <w:bottom w:val="single" w:color="auto" w:sz="4" w:space="0"/>
              <w:right w:val="single" w:color="auto" w:sz="4" w:space="0"/>
            </w:tcBorders>
            <w:vAlign w:val="center"/>
          </w:tcPr>
          <w:p w14:paraId="23946989">
            <w:pPr>
              <w:autoSpaceDE w:val="0"/>
              <w:autoSpaceDN w:val="0"/>
              <w:adjustRightInd w:val="0"/>
              <w:jc w:val="center"/>
              <w:rPr>
                <w:rFonts w:ascii="宋体" w:hAnsi="宋体" w:cs="宋体"/>
                <w:szCs w:val="21"/>
              </w:rPr>
            </w:pPr>
          </w:p>
        </w:tc>
        <w:tc>
          <w:tcPr>
            <w:tcW w:w="2218" w:type="dxa"/>
            <w:tcBorders>
              <w:top w:val="single" w:color="auto" w:sz="4" w:space="0"/>
              <w:left w:val="single" w:color="auto" w:sz="4" w:space="0"/>
              <w:bottom w:val="single" w:color="auto" w:sz="4" w:space="0"/>
              <w:right w:val="single" w:color="auto" w:sz="4" w:space="0"/>
            </w:tcBorders>
            <w:vAlign w:val="center"/>
          </w:tcPr>
          <w:p w14:paraId="6BAB5A18">
            <w:pPr>
              <w:autoSpaceDE w:val="0"/>
              <w:autoSpaceDN w:val="0"/>
              <w:adjustRightInd w:val="0"/>
              <w:jc w:val="center"/>
              <w:rPr>
                <w:rFonts w:ascii="宋体" w:hAnsi="宋体" w:cs="宋体"/>
                <w:szCs w:val="21"/>
              </w:rPr>
            </w:pPr>
          </w:p>
        </w:tc>
      </w:tr>
    </w:tbl>
    <w:p w14:paraId="59A38E8F">
      <w:pPr>
        <w:rPr>
          <w:rFonts w:ascii="宋体" w:hAnsi="宋体" w:cs="宋体"/>
        </w:rPr>
      </w:pPr>
    </w:p>
    <w:p w14:paraId="47400506">
      <w:pPr>
        <w:pStyle w:val="2"/>
        <w:numPr>
          <w:ilvl w:val="0"/>
          <w:numId w:val="2"/>
        </w:numPr>
        <w:rPr>
          <w:rFonts w:ascii="宋体" w:hAnsi="宋体" w:eastAsia="宋体" w:cs="宋体"/>
        </w:rPr>
      </w:pPr>
      <w:bookmarkStart w:id="44" w:name="_Toc374005708"/>
      <w:bookmarkStart w:id="45" w:name="_Toc29740"/>
      <w:r>
        <w:rPr>
          <w:rFonts w:hint="eastAsia" w:ascii="宋体" w:hAnsi="宋体" w:eastAsia="宋体" w:cs="宋体"/>
        </w:rPr>
        <w:t>非功能性需求</w:t>
      </w:r>
      <w:bookmarkEnd w:id="44"/>
      <w:bookmarkEnd w:id="45"/>
    </w:p>
    <w:p w14:paraId="77944737">
      <w:pPr>
        <w:pStyle w:val="3"/>
        <w:rPr>
          <w:rFonts w:ascii="宋体" w:hAnsi="宋体" w:eastAsia="宋体" w:cs="宋体"/>
          <w:snapToGrid w:val="0"/>
          <w:kern w:val="0"/>
          <w:sz w:val="24"/>
          <w:szCs w:val="24"/>
        </w:rPr>
      </w:pPr>
      <w:bookmarkStart w:id="46" w:name="_Toc1594"/>
      <w:bookmarkStart w:id="47" w:name="_Toc374005715"/>
      <w:bookmarkStart w:id="48" w:name="_Toc374005709"/>
      <w:r>
        <w:rPr>
          <w:rFonts w:hint="eastAsia" w:ascii="宋体" w:hAnsi="宋体" w:eastAsia="宋体" w:cs="宋体"/>
          <w:snapToGrid w:val="0"/>
          <w:kern w:val="0"/>
          <w:sz w:val="24"/>
          <w:szCs w:val="24"/>
        </w:rPr>
        <w:t>安全性需求</w:t>
      </w:r>
      <w:bookmarkEnd w:id="46"/>
      <w:bookmarkEnd w:id="47"/>
    </w:p>
    <w:p w14:paraId="7BA2FC39">
      <w:pPr>
        <w:adjustRightInd w:val="0"/>
        <w:spacing w:before="120" w:after="120"/>
        <w:rPr>
          <w:rFonts w:ascii="宋体" w:hAnsi="宋体" w:cs="宋体"/>
          <w:szCs w:val="21"/>
        </w:rPr>
      </w:pPr>
      <w:r>
        <w:rPr>
          <w:rFonts w:hint="eastAsia" w:ascii="宋体" w:hAnsi="宋体" w:cs="宋体"/>
          <w:szCs w:val="21"/>
        </w:rPr>
        <w:t>本需求的安全功能、安全设计、编码安全、安全测试、部署安全等应满足《信息技术部应用系统开发安全技术标准》的各项要求。</w:t>
      </w:r>
    </w:p>
    <w:p w14:paraId="409292D9">
      <w:pPr>
        <w:pStyle w:val="3"/>
        <w:rPr>
          <w:rFonts w:ascii="宋体" w:hAnsi="宋体" w:eastAsia="宋体" w:cs="宋体"/>
          <w:snapToGrid w:val="0"/>
          <w:kern w:val="0"/>
          <w:sz w:val="24"/>
          <w:szCs w:val="24"/>
        </w:rPr>
      </w:pPr>
      <w:bookmarkStart w:id="49" w:name="_Toc8124"/>
      <w:r>
        <w:rPr>
          <w:rFonts w:hint="eastAsia" w:ascii="宋体" w:hAnsi="宋体" w:eastAsia="宋体" w:cs="宋体"/>
          <w:snapToGrid w:val="0"/>
          <w:kern w:val="0"/>
          <w:sz w:val="24"/>
          <w:szCs w:val="24"/>
        </w:rPr>
        <w:t>其他非功能性需求</w:t>
      </w:r>
      <w:bookmarkEnd w:id="49"/>
    </w:p>
    <w:bookmarkEnd w:id="48"/>
    <w:p w14:paraId="5BC4AC37"/>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E32CAD">
    <w:pPr>
      <w:pStyle w:val="7"/>
      <w:ind w:right="-40" w:firstLine="3870" w:firstLineChars="2150"/>
    </w:pPr>
    <w:r>
      <w:rPr>
        <w:rFonts w:hint="eastAsia"/>
        <w:szCs w:val="21"/>
      </w:rPr>
      <w:t>第</w:t>
    </w:r>
    <w:r>
      <w:rPr>
        <w:szCs w:val="21"/>
      </w:rPr>
      <w:fldChar w:fldCharType="begin"/>
    </w:r>
    <w:r>
      <w:rPr>
        <w:szCs w:val="21"/>
      </w:rPr>
      <w:instrText xml:space="preserve"> PAGE </w:instrText>
    </w:r>
    <w:r>
      <w:rPr>
        <w:szCs w:val="21"/>
      </w:rPr>
      <w:fldChar w:fldCharType="separate"/>
    </w:r>
    <w:r>
      <w:rPr>
        <w:szCs w:val="21"/>
      </w:rPr>
      <w:t>2</w:t>
    </w:r>
    <w:r>
      <w:rPr>
        <w:szCs w:val="21"/>
      </w:rPr>
      <w:fldChar w:fldCharType="end"/>
    </w:r>
    <w:r>
      <w:rPr>
        <w:rFonts w:hint="eastAsia"/>
        <w:szCs w:val="21"/>
      </w:rPr>
      <w:t>页共</w:t>
    </w:r>
    <w:r>
      <w:rPr>
        <w:szCs w:val="21"/>
      </w:rPr>
      <w:fldChar w:fldCharType="begin"/>
    </w:r>
    <w:r>
      <w:rPr>
        <w:szCs w:val="21"/>
      </w:rPr>
      <w:instrText xml:space="preserve"> NUMPAGES </w:instrText>
    </w:r>
    <w:r>
      <w:rPr>
        <w:szCs w:val="21"/>
      </w:rPr>
      <w:fldChar w:fldCharType="separate"/>
    </w:r>
    <w:r>
      <w:rPr>
        <w:szCs w:val="21"/>
      </w:rPr>
      <w:t>5</w:t>
    </w:r>
    <w:r>
      <w:rPr>
        <w:szCs w:val="21"/>
      </w:rPr>
      <w:fldChar w:fldCharType="end"/>
    </w:r>
    <w:r>
      <w:rPr>
        <w:rFonts w:hint="eastAsia"/>
        <w:szCs w:val="21"/>
      </w:rPr>
      <w:t>页</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CD3FDC">
    <w:pPr>
      <w:pStyle w:val="7"/>
      <w:ind w:right="-40"/>
    </w:pPr>
    <w:r>
      <w:rPr>
        <w:rFonts w:hint="eastAsia"/>
      </w:rPr>
      <w:t>信息技术部</w:t>
    </w:r>
    <w:r>
      <w:t>CMM</w:t>
    </w:r>
    <w:r>
      <w:rPr>
        <w:rFonts w:hint="eastAsia"/>
      </w:rPr>
      <w:t>信息技术部</w:t>
    </w:r>
    <w:r>
      <w:tab/>
    </w:r>
    <w:r>
      <w:tab/>
    </w:r>
  </w:p>
  <w:p w14:paraId="0062CE1D">
    <w:pPr>
      <w:pStyle w:val="7"/>
      <w:ind w:right="-40"/>
      <w:jc w:val="center"/>
    </w:pPr>
    <w:r>
      <w:rPr>
        <w:rFonts w:hint="eastAsia"/>
        <w:b/>
      </w:rPr>
      <w:t>版权所有，不得复制</w:t>
    </w:r>
  </w:p>
  <w:p w14:paraId="2CB92B08">
    <w:pPr>
      <w:pStyle w:val="7"/>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67D8538">
    <w:pPr>
      <w:pStyle w:val="8"/>
      <w:tabs>
        <w:tab w:val="clear" w:pos="4153"/>
      </w:tabs>
      <w:ind w:right="400"/>
      <w:jc w:val="left"/>
      <w:rPr>
        <w:b/>
        <w:sz w:val="20"/>
      </w:rPr>
    </w:pPr>
    <w:r>
      <w:drawing>
        <wp:inline distT="0" distB="0" distL="0" distR="0">
          <wp:extent cx="1828800" cy="243840"/>
          <wp:effectExtent l="0" t="0" r="0" b="3810"/>
          <wp:docPr id="1" name="图片 6"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6"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a:xfrm>
                    <a:off x="0" y="0"/>
                    <a:ext cx="1828800" cy="243840"/>
                  </a:xfrm>
                  <a:prstGeom prst="rect">
                    <a:avLst/>
                  </a:prstGeom>
                  <a:noFill/>
                  <a:ln>
                    <a:noFill/>
                  </a:ln>
                </pic:spPr>
              </pic:pic>
            </a:graphicData>
          </a:graphic>
        </wp:inline>
      </w:drawing>
    </w:r>
    <w:r>
      <w:rPr>
        <w:rFonts w:hint="eastAsia"/>
        <w:b/>
        <w:sz w:val="20"/>
      </w:rPr>
      <w:t>需求说明书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408515">
    <w:pPr>
      <w:pStyle w:val="8"/>
      <w:pBdr>
        <w:bottom w:val="single" w:color="auto" w:sz="6" w:space="11"/>
      </w:pBdr>
      <w:ind w:right="-40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DE2D02C"/>
    <w:multiLevelType w:val="singleLevel"/>
    <w:tmpl w:val="9DE2D02C"/>
    <w:lvl w:ilvl="0" w:tentative="0">
      <w:start w:val="1"/>
      <w:numFmt w:val="decimal"/>
      <w:suff w:val="nothing"/>
      <w:lvlText w:val="（%1）"/>
      <w:lvlJc w:val="left"/>
    </w:lvl>
  </w:abstractNum>
  <w:abstractNum w:abstractNumId="1">
    <w:nsid w:val="A1C22E95"/>
    <w:multiLevelType w:val="singleLevel"/>
    <w:tmpl w:val="A1C22E95"/>
    <w:lvl w:ilvl="0" w:tentative="0">
      <w:start w:val="1"/>
      <w:numFmt w:val="decimal"/>
      <w:suff w:val="space"/>
      <w:lvlText w:val="%1."/>
      <w:lvlJc w:val="left"/>
    </w:lvl>
  </w:abstractNum>
  <w:abstractNum w:abstractNumId="2">
    <w:nsid w:val="B215B8DD"/>
    <w:multiLevelType w:val="singleLevel"/>
    <w:tmpl w:val="B215B8DD"/>
    <w:lvl w:ilvl="0" w:tentative="0">
      <w:start w:val="1"/>
      <w:numFmt w:val="bullet"/>
      <w:lvlText w:val=""/>
      <w:lvlJc w:val="left"/>
      <w:pPr>
        <w:ind w:left="420" w:hanging="420"/>
      </w:pPr>
      <w:rPr>
        <w:rFonts w:hint="default" w:ascii="Wingdings" w:hAnsi="Wingdings"/>
      </w:rPr>
    </w:lvl>
  </w:abstractNum>
  <w:abstractNum w:abstractNumId="3">
    <w:nsid w:val="B607A528"/>
    <w:multiLevelType w:val="singleLevel"/>
    <w:tmpl w:val="B607A528"/>
    <w:lvl w:ilvl="0" w:tentative="0">
      <w:start w:val="1"/>
      <w:numFmt w:val="bullet"/>
      <w:lvlText w:val=""/>
      <w:lvlJc w:val="left"/>
      <w:pPr>
        <w:ind w:left="420" w:hanging="420"/>
      </w:pPr>
      <w:rPr>
        <w:rFonts w:hint="default" w:ascii="Wingdings" w:hAnsi="Wingdings"/>
      </w:rPr>
    </w:lvl>
  </w:abstractNum>
  <w:abstractNum w:abstractNumId="4">
    <w:nsid w:val="BAD94706"/>
    <w:multiLevelType w:val="singleLevel"/>
    <w:tmpl w:val="BAD94706"/>
    <w:lvl w:ilvl="0" w:tentative="0">
      <w:start w:val="1"/>
      <w:numFmt w:val="decimal"/>
      <w:suff w:val="space"/>
      <w:lvlText w:val="%1."/>
      <w:lvlJc w:val="left"/>
    </w:lvl>
  </w:abstractNum>
  <w:abstractNum w:abstractNumId="5">
    <w:nsid w:val="BE7C5A1B"/>
    <w:multiLevelType w:val="singleLevel"/>
    <w:tmpl w:val="BE7C5A1B"/>
    <w:lvl w:ilvl="0" w:tentative="0">
      <w:start w:val="1"/>
      <w:numFmt w:val="decimal"/>
      <w:suff w:val="space"/>
      <w:lvlText w:val="%1."/>
      <w:lvlJc w:val="left"/>
    </w:lvl>
  </w:abstractNum>
  <w:abstractNum w:abstractNumId="6">
    <w:nsid w:val="D8B7FBB1"/>
    <w:multiLevelType w:val="singleLevel"/>
    <w:tmpl w:val="D8B7FBB1"/>
    <w:lvl w:ilvl="0" w:tentative="0">
      <w:start w:val="2"/>
      <w:numFmt w:val="decimal"/>
      <w:suff w:val="nothing"/>
      <w:lvlText w:val="（%1）"/>
      <w:lvlJc w:val="left"/>
    </w:lvl>
  </w:abstractNum>
  <w:abstractNum w:abstractNumId="7">
    <w:nsid w:val="ED8516FD"/>
    <w:multiLevelType w:val="singleLevel"/>
    <w:tmpl w:val="ED8516FD"/>
    <w:lvl w:ilvl="0" w:tentative="0">
      <w:start w:val="1"/>
      <w:numFmt w:val="decimal"/>
      <w:suff w:val="space"/>
      <w:lvlText w:val="%1."/>
      <w:lvlJc w:val="left"/>
    </w:lvl>
  </w:abstractNum>
  <w:abstractNum w:abstractNumId="8">
    <w:nsid w:val="0CDBFCB2"/>
    <w:multiLevelType w:val="singleLevel"/>
    <w:tmpl w:val="0CDBFCB2"/>
    <w:lvl w:ilvl="0" w:tentative="0">
      <w:start w:val="1"/>
      <w:numFmt w:val="decimal"/>
      <w:suff w:val="space"/>
      <w:lvlText w:val="%1."/>
      <w:lvlJc w:val="left"/>
    </w:lvl>
  </w:abstractNum>
  <w:abstractNum w:abstractNumId="9">
    <w:nsid w:val="0DBED60B"/>
    <w:multiLevelType w:val="singleLevel"/>
    <w:tmpl w:val="0DBED60B"/>
    <w:lvl w:ilvl="0" w:tentative="0">
      <w:start w:val="1"/>
      <w:numFmt w:val="decimal"/>
      <w:suff w:val="nothing"/>
      <w:lvlText w:val="（%1）"/>
      <w:lvlJc w:val="left"/>
    </w:lvl>
  </w:abstractNum>
  <w:abstractNum w:abstractNumId="10">
    <w:nsid w:val="17252775"/>
    <w:multiLevelType w:val="multilevel"/>
    <w:tmpl w:val="17252775"/>
    <w:lvl w:ilvl="0" w:tentative="0">
      <w:start w:val="1"/>
      <w:numFmt w:val="decimal"/>
      <w:pStyle w:val="2"/>
      <w:lvlText w:val="%1."/>
      <w:lvlJc w:val="left"/>
      <w:pPr>
        <w:tabs>
          <w:tab w:val="left" w:pos="425"/>
        </w:tabs>
        <w:ind w:left="425" w:hanging="425"/>
      </w:pPr>
      <w:rPr>
        <w:rFonts w:hint="default" w:ascii="Arial" w:hAnsi="Arial" w:cs="Arial"/>
      </w:rPr>
    </w:lvl>
    <w:lvl w:ilvl="1" w:tentative="0">
      <w:start w:val="1"/>
      <w:numFmt w:val="decimal"/>
      <w:pStyle w:val="3"/>
      <w:lvlText w:val="%1.%2."/>
      <w:lvlJc w:val="left"/>
      <w:pPr>
        <w:tabs>
          <w:tab w:val="left" w:pos="567"/>
        </w:tabs>
        <w:ind w:left="567" w:hanging="567"/>
      </w:pPr>
      <w:rPr>
        <w:rFonts w:hint="default" w:ascii="Arial" w:hAnsi="Arial" w:cs="Arial"/>
      </w:rPr>
    </w:lvl>
    <w:lvl w:ilvl="2" w:tentative="0">
      <w:start w:val="1"/>
      <w:numFmt w:val="decimal"/>
      <w:pStyle w:val="4"/>
      <w:lvlText w:val="%1.%2.%3."/>
      <w:lvlJc w:val="left"/>
      <w:pPr>
        <w:tabs>
          <w:tab w:val="left" w:pos="709"/>
        </w:tabs>
        <w:ind w:left="709" w:hanging="709"/>
      </w:pPr>
      <w:rPr>
        <w:rFonts w:hint="default" w:ascii="Arial" w:hAnsi="Arial" w:cs="Arial"/>
      </w:rPr>
    </w:lvl>
    <w:lvl w:ilvl="3" w:tentative="0">
      <w:start w:val="1"/>
      <w:numFmt w:val="decimal"/>
      <w:lvlText w:val="%1.%2.%3.%4."/>
      <w:lvlJc w:val="left"/>
      <w:pPr>
        <w:tabs>
          <w:tab w:val="left" w:pos="851"/>
        </w:tabs>
        <w:ind w:left="851" w:hanging="851"/>
      </w:pPr>
    </w:lvl>
    <w:lvl w:ilvl="4" w:tentative="0">
      <w:start w:val="1"/>
      <w:numFmt w:val="decimal"/>
      <w:lvlText w:val="%1.%2.%3.%4.%5."/>
      <w:lvlJc w:val="left"/>
      <w:pPr>
        <w:tabs>
          <w:tab w:val="left" w:pos="992"/>
        </w:tabs>
        <w:ind w:left="992" w:hanging="992"/>
      </w:pPr>
    </w:lvl>
    <w:lvl w:ilvl="5" w:tentative="0">
      <w:start w:val="1"/>
      <w:numFmt w:val="decimal"/>
      <w:lvlText w:val="%1.%2.%3.%4.%5.%6."/>
      <w:lvlJc w:val="left"/>
      <w:pPr>
        <w:tabs>
          <w:tab w:val="left" w:pos="1134"/>
        </w:tabs>
        <w:ind w:left="1134" w:hanging="1134"/>
      </w:pPr>
    </w:lvl>
    <w:lvl w:ilvl="6" w:tentative="0">
      <w:start w:val="1"/>
      <w:numFmt w:val="decimal"/>
      <w:lvlText w:val="%1.%2.%3.%4.%5.%6.%7."/>
      <w:lvlJc w:val="left"/>
      <w:pPr>
        <w:tabs>
          <w:tab w:val="left" w:pos="1276"/>
        </w:tabs>
        <w:ind w:left="1276" w:hanging="1276"/>
      </w:pPr>
    </w:lvl>
    <w:lvl w:ilvl="7" w:tentative="0">
      <w:start w:val="1"/>
      <w:numFmt w:val="decimal"/>
      <w:lvlText w:val="%1.%2.%3.%4.%5.%6.%7.%8."/>
      <w:lvlJc w:val="left"/>
      <w:pPr>
        <w:tabs>
          <w:tab w:val="left" w:pos="1418"/>
        </w:tabs>
        <w:ind w:left="1418" w:hanging="1418"/>
      </w:pPr>
    </w:lvl>
    <w:lvl w:ilvl="8" w:tentative="0">
      <w:start w:val="1"/>
      <w:numFmt w:val="decimal"/>
      <w:lvlText w:val="%1.%2.%3.%4.%5.%6.%7.%8.%9."/>
      <w:lvlJc w:val="left"/>
      <w:pPr>
        <w:tabs>
          <w:tab w:val="left" w:pos="1559"/>
        </w:tabs>
        <w:ind w:left="1559" w:hanging="1559"/>
      </w:pPr>
    </w:lvl>
  </w:abstractNum>
  <w:abstractNum w:abstractNumId="11">
    <w:nsid w:val="347E02ED"/>
    <w:multiLevelType w:val="singleLevel"/>
    <w:tmpl w:val="347E02ED"/>
    <w:lvl w:ilvl="0" w:tentative="0">
      <w:start w:val="1"/>
      <w:numFmt w:val="bullet"/>
      <w:lvlText w:val=""/>
      <w:lvlJc w:val="left"/>
      <w:pPr>
        <w:ind w:left="420" w:hanging="420"/>
      </w:pPr>
      <w:rPr>
        <w:rFonts w:hint="default" w:ascii="Wingdings" w:hAnsi="Wingdings"/>
      </w:rPr>
    </w:lvl>
  </w:abstractNum>
  <w:abstractNum w:abstractNumId="12">
    <w:nsid w:val="36604A7E"/>
    <w:multiLevelType w:val="singleLevel"/>
    <w:tmpl w:val="36604A7E"/>
    <w:lvl w:ilvl="0" w:tentative="0">
      <w:start w:val="1"/>
      <w:numFmt w:val="decimal"/>
      <w:suff w:val="space"/>
      <w:lvlText w:val="%1."/>
      <w:lvlJc w:val="left"/>
    </w:lvl>
  </w:abstractNum>
  <w:abstractNum w:abstractNumId="13">
    <w:nsid w:val="3EEE47B9"/>
    <w:multiLevelType w:val="singleLevel"/>
    <w:tmpl w:val="3EEE47B9"/>
    <w:lvl w:ilvl="0" w:tentative="0">
      <w:start w:val="1"/>
      <w:numFmt w:val="decimal"/>
      <w:suff w:val="space"/>
      <w:lvlText w:val="%1."/>
      <w:lvlJc w:val="left"/>
    </w:lvl>
  </w:abstractNum>
  <w:abstractNum w:abstractNumId="14">
    <w:nsid w:val="5E4B4199"/>
    <w:multiLevelType w:val="singleLevel"/>
    <w:tmpl w:val="5E4B4199"/>
    <w:lvl w:ilvl="0" w:tentative="0">
      <w:start w:val="1"/>
      <w:numFmt w:val="decimal"/>
      <w:lvlText w:val="(%1)"/>
      <w:lvlJc w:val="left"/>
      <w:pPr>
        <w:ind w:left="425" w:hanging="425"/>
      </w:pPr>
      <w:rPr>
        <w:rFonts w:hint="default"/>
      </w:rPr>
    </w:lvl>
  </w:abstractNum>
  <w:abstractNum w:abstractNumId="15">
    <w:nsid w:val="68B9029D"/>
    <w:multiLevelType w:val="singleLevel"/>
    <w:tmpl w:val="68B9029D"/>
    <w:lvl w:ilvl="0" w:tentative="0">
      <w:start w:val="1"/>
      <w:numFmt w:val="decimal"/>
      <w:suff w:val="nothing"/>
      <w:lvlText w:val="（%1）"/>
      <w:lvlJc w:val="left"/>
    </w:lvl>
  </w:abstractNum>
  <w:abstractNum w:abstractNumId="16">
    <w:nsid w:val="6F1874D4"/>
    <w:multiLevelType w:val="singleLevel"/>
    <w:tmpl w:val="6F1874D4"/>
    <w:lvl w:ilvl="0" w:tentative="0">
      <w:start w:val="1"/>
      <w:numFmt w:val="decimal"/>
      <w:suff w:val="space"/>
      <w:lvlText w:val="%1."/>
      <w:lvlJc w:val="left"/>
    </w:lvl>
  </w:abstractNum>
  <w:num w:numId="1">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7"/>
  </w:num>
  <w:num w:numId="5">
    <w:abstractNumId w:val="12"/>
  </w:num>
  <w:num w:numId="6">
    <w:abstractNumId w:val="8"/>
  </w:num>
  <w:num w:numId="7">
    <w:abstractNumId w:val="14"/>
  </w:num>
  <w:num w:numId="8">
    <w:abstractNumId w:val="15"/>
  </w:num>
  <w:num w:numId="9">
    <w:abstractNumId w:val="11"/>
  </w:num>
  <w:num w:numId="10">
    <w:abstractNumId w:val="16"/>
  </w:num>
  <w:num w:numId="11">
    <w:abstractNumId w:val="0"/>
  </w:num>
  <w:num w:numId="12">
    <w:abstractNumId w:val="4"/>
  </w:num>
  <w:num w:numId="13">
    <w:abstractNumId w:val="1"/>
  </w:num>
  <w:num w:numId="14">
    <w:abstractNumId w:val="6"/>
  </w:num>
  <w:num w:numId="15">
    <w:abstractNumId w:val="9"/>
  </w:num>
  <w:num w:numId="16">
    <w:abstractNumId w:val="2"/>
  </w:num>
  <w:num w:numId="17">
    <w:abstractNumId w:val="3"/>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E535D"/>
    <w:rsid w:val="00905AF0"/>
    <w:rsid w:val="00EF6ADA"/>
    <w:rsid w:val="00FE535D"/>
    <w:rsid w:val="017A08A8"/>
    <w:rsid w:val="028F06C1"/>
    <w:rsid w:val="02D1729F"/>
    <w:rsid w:val="02E17A42"/>
    <w:rsid w:val="0313249A"/>
    <w:rsid w:val="033314B3"/>
    <w:rsid w:val="03830C97"/>
    <w:rsid w:val="039B780B"/>
    <w:rsid w:val="03B4373C"/>
    <w:rsid w:val="0438140C"/>
    <w:rsid w:val="0544260A"/>
    <w:rsid w:val="05D60F10"/>
    <w:rsid w:val="07B77739"/>
    <w:rsid w:val="084542FA"/>
    <w:rsid w:val="08670250"/>
    <w:rsid w:val="09837CAA"/>
    <w:rsid w:val="09F33167"/>
    <w:rsid w:val="0A40455F"/>
    <w:rsid w:val="0AA65C72"/>
    <w:rsid w:val="0B3F4081"/>
    <w:rsid w:val="0BB26EA5"/>
    <w:rsid w:val="0C7271AF"/>
    <w:rsid w:val="0E1267A4"/>
    <w:rsid w:val="0F541F1F"/>
    <w:rsid w:val="0F610650"/>
    <w:rsid w:val="0F8C6010"/>
    <w:rsid w:val="0FD23CE3"/>
    <w:rsid w:val="10514AD4"/>
    <w:rsid w:val="12E9579D"/>
    <w:rsid w:val="13AC1522"/>
    <w:rsid w:val="13C54541"/>
    <w:rsid w:val="14ED3D4F"/>
    <w:rsid w:val="15697A03"/>
    <w:rsid w:val="160B1DB7"/>
    <w:rsid w:val="18214D25"/>
    <w:rsid w:val="19131D2F"/>
    <w:rsid w:val="19216AC6"/>
    <w:rsid w:val="1A597E48"/>
    <w:rsid w:val="1C0A1EC3"/>
    <w:rsid w:val="1C21223C"/>
    <w:rsid w:val="1CF57649"/>
    <w:rsid w:val="1F90600E"/>
    <w:rsid w:val="212C2A43"/>
    <w:rsid w:val="21582E98"/>
    <w:rsid w:val="250A7DD1"/>
    <w:rsid w:val="25607ABD"/>
    <w:rsid w:val="28341582"/>
    <w:rsid w:val="299F5050"/>
    <w:rsid w:val="2AAB316E"/>
    <w:rsid w:val="2ABC7875"/>
    <w:rsid w:val="2BD43FF7"/>
    <w:rsid w:val="2C5D46B1"/>
    <w:rsid w:val="2C720EE2"/>
    <w:rsid w:val="2F003CC5"/>
    <w:rsid w:val="2F572A7E"/>
    <w:rsid w:val="2FCB1ED7"/>
    <w:rsid w:val="305D1999"/>
    <w:rsid w:val="30EA3B49"/>
    <w:rsid w:val="314743E9"/>
    <w:rsid w:val="314805C3"/>
    <w:rsid w:val="314F3B3C"/>
    <w:rsid w:val="31952E0A"/>
    <w:rsid w:val="332B0567"/>
    <w:rsid w:val="33684E4E"/>
    <w:rsid w:val="35556E76"/>
    <w:rsid w:val="361A35D0"/>
    <w:rsid w:val="3720417F"/>
    <w:rsid w:val="38605641"/>
    <w:rsid w:val="38646938"/>
    <w:rsid w:val="38AD5420"/>
    <w:rsid w:val="38F81807"/>
    <w:rsid w:val="39AD103C"/>
    <w:rsid w:val="3C5C6615"/>
    <w:rsid w:val="3D37413E"/>
    <w:rsid w:val="3E0F1B03"/>
    <w:rsid w:val="3EED0ECD"/>
    <w:rsid w:val="409501E8"/>
    <w:rsid w:val="42271614"/>
    <w:rsid w:val="422A4018"/>
    <w:rsid w:val="445D3D55"/>
    <w:rsid w:val="4464552C"/>
    <w:rsid w:val="44CD20C7"/>
    <w:rsid w:val="45CF7294"/>
    <w:rsid w:val="46505FE5"/>
    <w:rsid w:val="46737069"/>
    <w:rsid w:val="47584B02"/>
    <w:rsid w:val="480D1FCD"/>
    <w:rsid w:val="4D4A4C5A"/>
    <w:rsid w:val="4D9C5D37"/>
    <w:rsid w:val="4F611A1A"/>
    <w:rsid w:val="4FC8656E"/>
    <w:rsid w:val="505428F9"/>
    <w:rsid w:val="50E720C7"/>
    <w:rsid w:val="51313D2B"/>
    <w:rsid w:val="51950F66"/>
    <w:rsid w:val="51EC4FF5"/>
    <w:rsid w:val="55CF31A2"/>
    <w:rsid w:val="561066BE"/>
    <w:rsid w:val="56141D44"/>
    <w:rsid w:val="565F6711"/>
    <w:rsid w:val="57FB5A12"/>
    <w:rsid w:val="58B06B3A"/>
    <w:rsid w:val="5A45154D"/>
    <w:rsid w:val="5BD06B1D"/>
    <w:rsid w:val="5D377454"/>
    <w:rsid w:val="5DBC7B57"/>
    <w:rsid w:val="5E9A4FBE"/>
    <w:rsid w:val="5EAB3AB3"/>
    <w:rsid w:val="5FE07430"/>
    <w:rsid w:val="604167A9"/>
    <w:rsid w:val="60D060C6"/>
    <w:rsid w:val="610C2D75"/>
    <w:rsid w:val="61C763F8"/>
    <w:rsid w:val="62996B14"/>
    <w:rsid w:val="637B79D5"/>
    <w:rsid w:val="639C59E0"/>
    <w:rsid w:val="65D30148"/>
    <w:rsid w:val="66B56591"/>
    <w:rsid w:val="67566AFF"/>
    <w:rsid w:val="6A0500C2"/>
    <w:rsid w:val="6A5D217F"/>
    <w:rsid w:val="6B713E38"/>
    <w:rsid w:val="6C3A5846"/>
    <w:rsid w:val="6C7F2654"/>
    <w:rsid w:val="6F8D066C"/>
    <w:rsid w:val="73372146"/>
    <w:rsid w:val="74516EE2"/>
    <w:rsid w:val="74624BFD"/>
    <w:rsid w:val="74FD12D5"/>
    <w:rsid w:val="75B709E0"/>
    <w:rsid w:val="78634468"/>
    <w:rsid w:val="7AFE4D08"/>
    <w:rsid w:val="7B7F6611"/>
    <w:rsid w:val="7BF15B2F"/>
    <w:rsid w:val="7C71742D"/>
    <w:rsid w:val="7D0F3523"/>
    <w:rsid w:val="7DF535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qFormat="1"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0"/>
    <w:pPr>
      <w:keepNext/>
      <w:keepLines/>
      <w:numPr>
        <w:ilvl w:val="0"/>
        <w:numId w:val="1"/>
      </w:numPr>
      <w:spacing w:before="340" w:after="330" w:line="576" w:lineRule="auto"/>
      <w:outlineLvl w:val="0"/>
    </w:pPr>
    <w:rPr>
      <w:rFonts w:eastAsia="Arial"/>
      <w:b/>
      <w:bCs/>
      <w:kern w:val="44"/>
      <w:sz w:val="32"/>
      <w:szCs w:val="44"/>
    </w:rPr>
  </w:style>
  <w:style w:type="paragraph" w:styleId="3">
    <w:name w:val="heading 2"/>
    <w:basedOn w:val="1"/>
    <w:next w:val="1"/>
    <w:qFormat/>
    <w:uiPriority w:val="0"/>
    <w:pPr>
      <w:keepNext/>
      <w:keepLines/>
      <w:numPr>
        <w:ilvl w:val="1"/>
        <w:numId w:val="1"/>
      </w:numPr>
      <w:spacing w:before="260" w:after="260" w:line="415" w:lineRule="auto"/>
      <w:outlineLvl w:val="1"/>
    </w:pPr>
    <w:rPr>
      <w:rFonts w:ascii="Arial" w:hAnsi="Arial" w:eastAsia="黑体"/>
      <w:b/>
      <w:bCs/>
      <w:sz w:val="28"/>
      <w:szCs w:val="32"/>
    </w:rPr>
  </w:style>
  <w:style w:type="paragraph" w:styleId="4">
    <w:name w:val="heading 3"/>
    <w:basedOn w:val="1"/>
    <w:next w:val="1"/>
    <w:qFormat/>
    <w:uiPriority w:val="0"/>
    <w:pPr>
      <w:keepNext/>
      <w:keepLines/>
      <w:numPr>
        <w:ilvl w:val="2"/>
        <w:numId w:val="1"/>
      </w:numPr>
      <w:tabs>
        <w:tab w:val="left" w:pos="425"/>
      </w:tabs>
      <w:spacing w:before="260" w:after="260" w:line="415" w:lineRule="auto"/>
      <w:outlineLvl w:val="2"/>
    </w:pPr>
    <w:rPr>
      <w:b/>
      <w:bCs/>
      <w:szCs w:val="32"/>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5">
    <w:name w:val="Body Text"/>
    <w:basedOn w:val="1"/>
    <w:unhideWhenUsed/>
    <w:qFormat/>
    <w:uiPriority w:val="0"/>
    <w:pPr>
      <w:widowControl/>
      <w:spacing w:line="360" w:lineRule="auto"/>
      <w:jc w:val="left"/>
    </w:pPr>
    <w:rPr>
      <w:rFonts w:ascii="Calibri" w:hAnsi="Calibri"/>
      <w:b/>
      <w:kern w:val="0"/>
      <w:sz w:val="32"/>
      <w:szCs w:val="20"/>
      <w:lang w:eastAsia="en-US"/>
    </w:rPr>
  </w:style>
  <w:style w:type="paragraph" w:styleId="6">
    <w:name w:val="toc 3"/>
    <w:basedOn w:val="1"/>
    <w:next w:val="1"/>
    <w:unhideWhenUsed/>
    <w:qFormat/>
    <w:uiPriority w:val="39"/>
    <w:pPr>
      <w:ind w:left="840" w:leftChars="400"/>
    </w:pPr>
  </w:style>
  <w:style w:type="paragraph" w:styleId="7">
    <w:name w:val="footer"/>
    <w:basedOn w:val="1"/>
    <w:unhideWhenUsed/>
    <w:qFormat/>
    <w:uiPriority w:val="0"/>
    <w:pPr>
      <w:tabs>
        <w:tab w:val="center" w:pos="4153"/>
        <w:tab w:val="right" w:pos="8306"/>
      </w:tabs>
      <w:snapToGrid w:val="0"/>
      <w:jc w:val="left"/>
    </w:pPr>
    <w:rPr>
      <w:sz w:val="18"/>
      <w:szCs w:val="18"/>
    </w:rPr>
  </w:style>
  <w:style w:type="paragraph" w:styleId="8">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unhideWhenUsed/>
    <w:qFormat/>
    <w:uiPriority w:val="39"/>
  </w:style>
  <w:style w:type="paragraph" w:styleId="10">
    <w:name w:val="toc 2"/>
    <w:basedOn w:val="1"/>
    <w:next w:val="1"/>
    <w:unhideWhenUsed/>
    <w:qFormat/>
    <w:uiPriority w:val="39"/>
    <w:pPr>
      <w:ind w:left="420" w:leftChars="200"/>
    </w:pPr>
  </w:style>
  <w:style w:type="character" w:styleId="13">
    <w:name w:val="Hyperlink"/>
    <w:basedOn w:val="12"/>
    <w:qFormat/>
    <w:uiPriority w:val="0"/>
    <w:rPr>
      <w:color w:val="0000FF"/>
      <w:u w:val="single"/>
    </w:rPr>
  </w:style>
  <w:style w:type="paragraph" w:customStyle="1" w:styleId="14">
    <w:name w:val="文档中文标题"/>
    <w:basedOn w:val="1"/>
    <w:qFormat/>
    <w:uiPriority w:val="0"/>
    <w:pPr>
      <w:keepLines/>
      <w:widowControl/>
      <w:overflowPunct w:val="0"/>
      <w:autoSpaceDE w:val="0"/>
      <w:autoSpaceDN w:val="0"/>
      <w:adjustRightInd w:val="0"/>
      <w:spacing w:after="120"/>
      <w:ind w:left="2552" w:right="720"/>
      <w:jc w:val="left"/>
    </w:pPr>
    <w:rPr>
      <w:rFonts w:ascii="宋体"/>
      <w:b/>
      <w:bCs/>
      <w:smallCaps/>
      <w:kern w:val="0"/>
      <w:sz w:val="44"/>
      <w:szCs w:val="18"/>
      <w:lang w:val="zh-CN"/>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image" Target="media/image12.emf"/><Relationship Id="rId18" Type="http://schemas.openxmlformats.org/officeDocument/2006/relationships/oleObject" Target="embeddings/oleObject1.bin"/><Relationship Id="rId17" Type="http://schemas.openxmlformats.org/officeDocument/2006/relationships/image" Target="media/image11.png"/><Relationship Id="rId16" Type="http://schemas.openxmlformats.org/officeDocument/2006/relationships/image" Target="media/image10.png"/><Relationship Id="rId15" Type="http://schemas.openxmlformats.org/officeDocument/2006/relationships/image" Target="media/image9.png"/><Relationship Id="rId14" Type="http://schemas.openxmlformats.org/officeDocument/2006/relationships/image" Target="media/image8.png"/><Relationship Id="rId13" Type="http://schemas.openxmlformats.org/officeDocument/2006/relationships/image" Target="media/image7.png"/><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12</Pages>
  <Words>273</Words>
  <Characters>1559</Characters>
  <Lines>12</Lines>
  <Paragraphs>3</Paragraphs>
  <TotalTime>2</TotalTime>
  <ScaleCrop>false</ScaleCrop>
  <LinksUpToDate>false</LinksUpToDate>
  <CharactersWithSpaces>1829</CharactersWithSpaces>
  <Application>WPS Office_12.8.2.19309_F1E327BC-269C-435d-A152-05C5408002CA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2024-02-22T07:01:00Z</dcterms:created>
  <dc:creator>8000570218</dc:creator>
  <cp:lastModifiedBy>8000570218</cp:lastModifiedBy>
  <dcterms:modified xsi:type="dcterms:W3CDTF">2025-09-30T03:18:01Z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2052-12.8.2.19309</vt:lpwstr>
  </property>
  <property fmtid="{D5CDD505-2E9C-101B-9397-08002B2CF9AE}" pid="3" name="ICV">
    <vt:lpwstr>5AD13616341048E2B91ADF353C40EB59_12</vt:lpwstr>
  </property>
</Properties>
</file>