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26EE78">
      <w:pPr>
        <w:pStyle w:val="49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1B67ED40">
      <w:pPr>
        <w:pStyle w:val="49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138D7B85">
      <w:pPr>
        <w:pStyle w:val="49"/>
        <w:ind w:left="420"/>
        <w:jc w:val="center"/>
        <w:rPr>
          <w:rFonts w:ascii="Arial" w:hAnsi="Arial"/>
          <w:caps/>
          <w:sz w:val="21"/>
          <w:szCs w:val="21"/>
          <w:lang w:val="en-US"/>
        </w:rPr>
      </w:pPr>
      <w:r>
        <w:rPr>
          <w:rFonts w:hint="eastAsia" w:ascii="黑体" w:eastAsia="黑体"/>
          <w:caps/>
          <w:szCs w:val="44"/>
        </w:rPr>
        <w:tab/>
      </w:r>
      <w:r>
        <w:rPr>
          <w:rFonts w:hint="eastAsia" w:ascii="Arial" w:hAnsi="Arial" w:eastAsia="黑体"/>
          <w:caps/>
        </w:rPr>
        <w:t>需求说明书</w: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begin"/>
      </w:r>
      <w:r>
        <w:rPr>
          <w:rFonts w:ascii="Arial" w:hAnsi="Arial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end"/>
      </w:r>
    </w:p>
    <w:p w14:paraId="140FA553"/>
    <w:p w14:paraId="058D5191"/>
    <w:p w14:paraId="0CB9BD52">
      <w:pPr>
        <w:pStyle w:val="2"/>
        <w:numPr>
          <w:ilvl w:val="0"/>
          <w:numId w:val="0"/>
        </w:numPr>
        <w:tabs>
          <w:tab w:val="left" w:pos="420"/>
        </w:tabs>
        <w:rPr>
          <w:rFonts w:eastAsia="宋体"/>
        </w:rPr>
      </w:pPr>
      <w:bookmarkStart w:id="0" w:name="_Toc208994575"/>
      <w:bookmarkStart w:id="1" w:name="_Toc312161398"/>
    </w:p>
    <w:p w14:paraId="76EE032C">
      <w:pPr>
        <w:widowControl/>
        <w:jc w:val="left"/>
        <w:rPr>
          <w:rFonts w:hint="eastAsia"/>
        </w:rPr>
      </w:pPr>
    </w:p>
    <w:p w14:paraId="278CE1D3">
      <w:pPr>
        <w:widowControl/>
        <w:jc w:val="left"/>
        <w:rPr>
          <w:rFonts w:hint="eastAsia"/>
        </w:rPr>
      </w:pPr>
    </w:p>
    <w:p w14:paraId="0F888904">
      <w:pPr>
        <w:widowControl/>
        <w:jc w:val="left"/>
      </w:pPr>
    </w:p>
    <w:p w14:paraId="008E362B"/>
    <w:p w14:paraId="2A9B12F8">
      <w:pPr>
        <w:pStyle w:val="11"/>
      </w:pPr>
      <w:r>
        <w:rPr>
          <w:rFonts w:hint="eastAsia"/>
        </w:rPr>
        <w:t>修订历史</w:t>
      </w:r>
      <w:r>
        <w:t xml:space="preserve">  </w:t>
      </w:r>
    </w:p>
    <w:tbl>
      <w:tblPr>
        <w:tblStyle w:val="23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50"/>
        <w:gridCol w:w="1008"/>
        <w:gridCol w:w="4993"/>
      </w:tblGrid>
      <w:tr w14:paraId="77058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B7A119E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版本号</w:t>
            </w:r>
          </w:p>
        </w:tc>
        <w:tc>
          <w:tcPr>
            <w:tcW w:w="15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3151AFD9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修订日期</w:t>
            </w:r>
          </w:p>
        </w:tc>
        <w:tc>
          <w:tcPr>
            <w:tcW w:w="10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839C332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修订人</w:t>
            </w:r>
          </w:p>
        </w:tc>
        <w:tc>
          <w:tcPr>
            <w:tcW w:w="499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0A6C5573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修订详情</w:t>
            </w:r>
          </w:p>
        </w:tc>
      </w:tr>
      <w:tr w14:paraId="0B5E8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C00E4">
            <w:pPr>
              <w:jc w:val="center"/>
              <w:rPr>
                <w:sz w:val="20"/>
              </w:rPr>
            </w:pPr>
            <w:r>
              <w:rPr>
                <w:sz w:val="20"/>
              </w:rPr>
              <w:t>V1.0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C9A0B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2025-4-22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0B3C0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 w:ascii="微软雅黑" w:hAnsi="微软雅黑" w:eastAsia="微软雅黑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89190">
            <w:pPr>
              <w:pStyle w:val="11"/>
              <w:spacing w:line="240" w:lineRule="atLeast"/>
              <w:jc w:val="center"/>
              <w:rPr>
                <w:b w:val="0"/>
                <w:sz w:val="20"/>
                <w:lang w:eastAsia="zh-CN"/>
              </w:rPr>
            </w:pPr>
            <w:r>
              <w:rPr>
                <w:rFonts w:hint="eastAsia"/>
                <w:b w:val="0"/>
                <w:sz w:val="20"/>
                <w:lang w:eastAsia="zh-CN"/>
              </w:rPr>
              <w:t>撰写初稿</w:t>
            </w:r>
          </w:p>
        </w:tc>
      </w:tr>
      <w:tr w14:paraId="21B43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9FEE1">
            <w:pPr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rFonts w:hint="eastAsia"/>
                <w:sz w:val="20"/>
                <w:lang w:val="en-US" w:eastAsia="zh-CN"/>
              </w:rPr>
              <w:t>2</w:t>
            </w:r>
            <w:r>
              <w:rPr>
                <w:sz w:val="20"/>
              </w:rPr>
              <w:t>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64974">
            <w:pPr>
              <w:jc w:val="center"/>
              <w:rPr>
                <w:rFonts w:hint="default"/>
                <w:sz w:val="20"/>
                <w:lang w:val="en-US"/>
              </w:rPr>
            </w:pPr>
            <w:r>
              <w:rPr>
                <w:rFonts w:hint="eastAsia"/>
                <w:sz w:val="20"/>
                <w:lang w:val="en-US" w:eastAsia="zh-CN"/>
              </w:rPr>
              <w:t>2025-6-10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E984C">
            <w:pPr>
              <w:jc w:val="center"/>
              <w:rPr>
                <w:sz w:val="20"/>
              </w:rPr>
            </w:pP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48861">
            <w:pPr>
              <w:pStyle w:val="11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根据业务反馈修改</w:t>
            </w:r>
          </w:p>
        </w:tc>
      </w:tr>
      <w:tr w14:paraId="08A834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AAD53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V3.0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73686">
            <w:pPr>
              <w:jc w:val="center"/>
              <w:rPr>
                <w:rFonts w:hint="eastAsia"/>
                <w:sz w:val="20"/>
                <w:lang w:val="en-US" w:eastAsia="zh-CN"/>
              </w:rPr>
            </w:pP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7896A">
            <w:pPr>
              <w:jc w:val="center"/>
              <w:rPr>
                <w:sz w:val="20"/>
              </w:rPr>
            </w:pP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96C98">
            <w:pPr>
              <w:pStyle w:val="11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补充移动理赔需求</w:t>
            </w:r>
          </w:p>
        </w:tc>
      </w:tr>
    </w:tbl>
    <w:p w14:paraId="2C2F32A7"/>
    <w:p w14:paraId="1F05BC07"/>
    <w:p w14:paraId="70D3F710"/>
    <w:p w14:paraId="48F0F4C4"/>
    <w:p w14:paraId="4D3FAAB4"/>
    <w:p w14:paraId="354908C9"/>
    <w:p w14:paraId="0C5A3312"/>
    <w:p w14:paraId="57A2434F"/>
    <w:p w14:paraId="72814850"/>
    <w:p w14:paraId="1A358C52"/>
    <w:p w14:paraId="14042DBE">
      <w:pPr>
        <w:widowControl/>
        <w:jc w:val="left"/>
      </w:pPr>
      <w:r>
        <w:br w:type="page"/>
      </w:r>
    </w:p>
    <w:p w14:paraId="751A3557"/>
    <w:bookmarkEnd w:id="0"/>
    <w:bookmarkEnd w:id="1"/>
    <w:p w14:paraId="0A000C81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目录</w:t>
      </w:r>
    </w:p>
    <w:p w14:paraId="4129349A">
      <w:pPr>
        <w:jc w:val="center"/>
        <w:rPr>
          <w:b/>
          <w:sz w:val="30"/>
          <w:szCs w:val="30"/>
        </w:rPr>
      </w:pPr>
    </w:p>
    <w:p w14:paraId="124A4B0F">
      <w:pPr>
        <w:pStyle w:val="19"/>
        <w:tabs>
          <w:tab w:val="right" w:leader="dot" w:pos="8306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_Toc31568 </w:instrText>
      </w:r>
      <w:r>
        <w:fldChar w:fldCharType="separate"/>
      </w:r>
      <w:r>
        <w:rPr>
          <w:rFonts w:hint="default" w:ascii="Arial" w:hAnsi="Arial" w:eastAsia="黑体" w:cs="Arial"/>
        </w:rPr>
        <w:t xml:space="preserve">1. </w:t>
      </w:r>
      <w:r>
        <w:rPr>
          <w:rFonts w:hint="eastAsia" w:ascii="黑体" w:hAnsi="黑体" w:eastAsia="黑体"/>
        </w:rPr>
        <w:t>用户</w:t>
      </w:r>
      <w:r>
        <w:tab/>
      </w:r>
      <w:r>
        <w:fldChar w:fldCharType="begin"/>
      </w:r>
      <w:r>
        <w:instrText xml:space="preserve"> PAGEREF _Toc31568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50352E64"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_Toc5970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 </w:t>
      </w:r>
      <w:r>
        <w:rPr>
          <w:rFonts w:hint="eastAsia" w:ascii="黑体" w:hAnsi="黑体" w:eastAsia="黑体"/>
        </w:rPr>
        <w:t>需求描述</w:t>
      </w:r>
      <w:r>
        <w:tab/>
      </w:r>
      <w:r>
        <w:fldChar w:fldCharType="begin"/>
      </w:r>
      <w:r>
        <w:instrText xml:space="preserve"> PAGEREF _Toc5970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7F5FC0EF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_Toc22988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2.1. </w:t>
      </w:r>
      <w:r>
        <w:rPr>
          <w:rFonts w:hint="eastAsia"/>
          <w:snapToGrid w:val="0"/>
          <w:kern w:val="0"/>
        </w:rPr>
        <w:t>需求目的</w:t>
      </w:r>
      <w:r>
        <w:tab/>
      </w:r>
      <w:r>
        <w:fldChar w:fldCharType="begin"/>
      </w:r>
      <w:r>
        <w:instrText xml:space="preserve"> PAGEREF _Toc22988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2098BFC2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_Toc18190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2.2. </w:t>
      </w:r>
      <w:r>
        <w:rPr>
          <w:rFonts w:hint="eastAsia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_Toc18190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18491004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_Toc14507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2.2.1. </w:t>
      </w:r>
      <w:r>
        <w:rPr>
          <w:rFonts w:hint="eastAsia" w:ascii="黑体" w:hAnsi="黑体" w:eastAsia="黑体"/>
        </w:rPr>
        <w:t>业务原始需求</w:t>
      </w:r>
      <w:r>
        <w:tab/>
      </w:r>
      <w:r>
        <w:fldChar w:fldCharType="begin"/>
      </w:r>
      <w:r>
        <w:instrText xml:space="preserve"> PAGEREF _Toc14507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07A7CE94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_Toc29019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2.2.2. </w:t>
      </w:r>
      <w:r>
        <w:rPr>
          <w:rFonts w:hint="eastAsia" w:ascii="黑体" w:hAnsi="黑体" w:eastAsia="黑体"/>
        </w:rPr>
        <w:t>交付要求</w:t>
      </w:r>
      <w:r>
        <w:tab/>
      </w:r>
      <w:r>
        <w:fldChar w:fldCharType="begin"/>
      </w:r>
      <w:r>
        <w:instrText xml:space="preserve"> PAGEREF _Toc29019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647FC396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_Toc12708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2.3. </w:t>
      </w:r>
      <w:r>
        <w:rPr>
          <w:rFonts w:hint="eastAsia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_Toc12708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22E6D277"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_Toc14577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 </w:t>
      </w:r>
      <w:r>
        <w:rPr>
          <w:rFonts w:hint="eastAsia" w:ascii="黑体" w:hAnsi="黑体" w:eastAsia="黑体"/>
        </w:rPr>
        <w:t>功能性需求</w:t>
      </w:r>
      <w:r>
        <w:tab/>
      </w:r>
      <w:r>
        <w:fldChar w:fldCharType="begin"/>
      </w:r>
      <w:r>
        <w:instrText xml:space="preserve"> PAGEREF _Toc14577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6C6FA620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_Toc29953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3.1. </w:t>
      </w:r>
      <w:r>
        <w:rPr>
          <w:rFonts w:hint="eastAsia"/>
          <w:snapToGrid w:val="0"/>
          <w:kern w:val="0"/>
        </w:rPr>
        <w:t>需求</w:t>
      </w:r>
      <w:r>
        <w:rPr>
          <w:snapToGrid w:val="0"/>
          <w:kern w:val="0"/>
        </w:rPr>
        <w:t>1</w:t>
      </w:r>
      <w:r>
        <w:rPr>
          <w:rFonts w:hint="eastAsia"/>
          <w:snapToGrid w:val="0"/>
          <w:kern w:val="0"/>
          <w:lang w:val="en-US" w:eastAsia="zh-CN"/>
        </w:rPr>
        <w:t>车险理赔系统</w:t>
      </w:r>
      <w:r>
        <w:tab/>
      </w:r>
      <w:r>
        <w:fldChar w:fldCharType="begin"/>
      </w:r>
      <w:r>
        <w:instrText xml:space="preserve"> PAGEREF _Toc29953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4E84F42A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_Toc2967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_Toc2967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67C78AFC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_Toc25968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_Toc25968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537FB338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_Toc17730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_Toc17730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05BCB44C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_Toc19240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3.2.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移动理赔系统</w:t>
      </w:r>
      <w:r>
        <w:tab/>
      </w:r>
      <w:r>
        <w:fldChar w:fldCharType="begin"/>
      </w:r>
      <w:r>
        <w:instrText xml:space="preserve"> PAGEREF _Toc19240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6EE48B87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_Toc16663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_Toc16663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58EC5788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_Toc8533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_Toc8533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4A518E51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_Toc28584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_Toc28584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61BFC8B5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_Toc22520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3.3. </w:t>
      </w:r>
      <w:r>
        <w:rPr>
          <w:rFonts w:hint="eastAsia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_Toc22520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7D2D5C42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_Toc991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3.4. </w:t>
      </w:r>
      <w:r>
        <w:rPr>
          <w:rFonts w:hint="eastAsia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_Toc991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01554AED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_Toc30098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3.5. </w:t>
      </w:r>
      <w:r>
        <w:rPr>
          <w:rFonts w:hint="eastAsia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_Toc30098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21BE4D43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_Toc5235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3.6. </w:t>
      </w:r>
      <w:r>
        <w:rPr>
          <w:rFonts w:hint="eastAsia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_Toc5235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4D982268"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_Toc8018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4. </w:t>
      </w:r>
      <w:r>
        <w:rPr>
          <w:rFonts w:hint="eastAsia" w:ascii="黑体" w:hAnsi="黑体" w:eastAsia="黑体"/>
        </w:rPr>
        <w:t>非功能性需求</w:t>
      </w:r>
      <w:r>
        <w:tab/>
      </w:r>
      <w:r>
        <w:fldChar w:fldCharType="begin"/>
      </w:r>
      <w:r>
        <w:instrText xml:space="preserve"> PAGEREF _Toc8018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4318CA23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_Toc15839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4.1. </w:t>
      </w:r>
      <w:r>
        <w:rPr>
          <w:rFonts w:hint="eastAsia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_Toc15839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3769590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_Toc936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4.2. </w:t>
      </w:r>
      <w:r>
        <w:rPr>
          <w:rFonts w:hint="eastAsia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_Toc936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4F26BA73">
      <w:r>
        <w:rPr>
          <w:bCs/>
          <w:lang w:val="zh-CN"/>
        </w:rPr>
        <w:fldChar w:fldCharType="end"/>
      </w:r>
    </w:p>
    <w:p w14:paraId="3F5F12AF">
      <w:pPr>
        <w:widowControl/>
        <w:jc w:val="left"/>
      </w:pPr>
      <w:r>
        <w:br w:type="page"/>
      </w:r>
    </w:p>
    <w:p w14:paraId="4255D297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2" w:name="_Toc31568"/>
      <w:bookmarkStart w:id="3" w:name="_Toc374005698"/>
      <w:r>
        <w:rPr>
          <w:rFonts w:hint="eastAsia" w:ascii="黑体" w:hAnsi="黑体" w:eastAsia="黑体"/>
        </w:rPr>
        <w:t>用户</w:t>
      </w:r>
      <w:bookmarkEnd w:id="2"/>
      <w:bookmarkEnd w:id="3"/>
    </w:p>
    <w:p w14:paraId="4458B6BB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4" w:name="_Toc5970"/>
      <w:bookmarkStart w:id="5" w:name="_Toc374005699"/>
      <w:r>
        <w:rPr>
          <w:rFonts w:hint="eastAsia" w:ascii="黑体" w:hAnsi="黑体" w:eastAsia="黑体"/>
        </w:rPr>
        <w:t>需求描述</w:t>
      </w:r>
      <w:bookmarkEnd w:id="4"/>
      <w:bookmarkEnd w:id="5"/>
    </w:p>
    <w:p w14:paraId="70940899">
      <w:pPr>
        <w:pStyle w:val="3"/>
        <w:rPr>
          <w:snapToGrid w:val="0"/>
          <w:kern w:val="0"/>
        </w:rPr>
      </w:pPr>
      <w:bookmarkStart w:id="6" w:name="_Toc374005700"/>
      <w:bookmarkStart w:id="7" w:name="_Toc22988"/>
      <w:r>
        <w:rPr>
          <w:rFonts w:hint="eastAsia"/>
          <w:snapToGrid w:val="0"/>
          <w:kern w:val="0"/>
        </w:rPr>
        <w:t>需求目的</w:t>
      </w:r>
      <w:bookmarkEnd w:id="6"/>
      <w:bookmarkEnd w:id="7"/>
    </w:p>
    <w:p w14:paraId="2D3C8344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46652999">
      <w:pPr>
        <w:pStyle w:val="3"/>
        <w:rPr>
          <w:snapToGrid w:val="0"/>
          <w:kern w:val="0"/>
        </w:rPr>
      </w:pPr>
      <w:bookmarkStart w:id="8" w:name="_Toc18190"/>
      <w:bookmarkStart w:id="9" w:name="_Toc374005701"/>
      <w:r>
        <w:rPr>
          <w:rFonts w:hint="eastAsia"/>
          <w:snapToGrid w:val="0"/>
          <w:kern w:val="0"/>
        </w:rPr>
        <w:t>业务需求</w:t>
      </w:r>
      <w:bookmarkEnd w:id="8"/>
      <w:bookmarkEnd w:id="9"/>
    </w:p>
    <w:p w14:paraId="6675B277">
      <w:pPr>
        <w:pStyle w:val="4"/>
        <w:rPr>
          <w:rFonts w:ascii="黑体" w:hAnsi="黑体" w:eastAsia="黑体"/>
        </w:rPr>
      </w:pPr>
      <w:bookmarkStart w:id="10" w:name="_Toc14507"/>
      <w:r>
        <w:rPr>
          <w:rFonts w:hint="eastAsia" w:ascii="黑体" w:hAnsi="黑体" w:eastAsia="黑体"/>
        </w:rPr>
        <w:t>业务原始需求</w:t>
      </w:r>
      <w:bookmarkEnd w:id="10"/>
    </w:p>
    <w:p w14:paraId="13A7FCE9">
      <w:pPr>
        <w:pStyle w:val="4"/>
        <w:rPr>
          <w:rFonts w:ascii="黑体" w:hAnsi="黑体" w:eastAsia="黑体"/>
        </w:rPr>
      </w:pPr>
      <w:bookmarkStart w:id="11" w:name="_Toc29019"/>
      <w:r>
        <w:rPr>
          <w:rFonts w:hint="eastAsia" w:ascii="黑体" w:hAnsi="黑体" w:eastAsia="黑体"/>
        </w:rPr>
        <w:t>交付要求</w:t>
      </w:r>
      <w:bookmarkEnd w:id="11"/>
    </w:p>
    <w:p w14:paraId="667FDC1E">
      <w:pPr>
        <w:pStyle w:val="3"/>
        <w:rPr>
          <w:snapToGrid w:val="0"/>
          <w:kern w:val="0"/>
        </w:rPr>
      </w:pPr>
      <w:bookmarkStart w:id="12" w:name="_Toc374005702"/>
      <w:bookmarkStart w:id="13" w:name="_Toc12708"/>
      <w:r>
        <w:rPr>
          <w:rFonts w:hint="eastAsia"/>
          <w:snapToGrid w:val="0"/>
          <w:kern w:val="0"/>
        </w:rPr>
        <w:t>业务流程</w:t>
      </w:r>
      <w:bookmarkEnd w:id="12"/>
      <w:bookmarkEnd w:id="13"/>
    </w:p>
    <w:p w14:paraId="1F9567DA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是否需要操作手册：不需要</w:t>
      </w:r>
    </w:p>
    <w:p w14:paraId="21574F81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是否需要验收：需要</w:t>
      </w:r>
    </w:p>
    <w:p w14:paraId="388EA204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是否需要用户体验验收：需要</w:t>
      </w:r>
    </w:p>
    <w:p w14:paraId="3FA0509D">
      <w:pPr>
        <w:adjustRightInd w:val="0"/>
        <w:spacing w:before="120" w:after="120"/>
        <w:rPr>
          <w:rFonts w:hint="default" w:ascii="Arial" w:hAnsi="Arial" w:eastAsia="仿宋_GB2312" w:cs="Arial"/>
          <w:szCs w:val="21"/>
          <w:lang w:val="en-US" w:eastAsia="zh-CN"/>
        </w:rPr>
      </w:pPr>
      <w:r>
        <w:rPr>
          <w:rFonts w:hint="eastAsia" w:ascii="Arial" w:hAnsi="Arial" w:eastAsia="仿宋_GB2312" w:cs="Arial"/>
          <w:szCs w:val="21"/>
        </w:rPr>
        <w:t>需求类别：</w:t>
      </w:r>
      <w:r>
        <w:rPr>
          <w:rFonts w:hint="eastAsia" w:ascii="Arial" w:hAnsi="Arial" w:eastAsia="仿宋_GB2312" w:cs="Arial"/>
          <w:szCs w:val="21"/>
          <w:lang w:val="en-US" w:eastAsia="zh-CN"/>
        </w:rPr>
        <w:t>业务发展</w:t>
      </w:r>
    </w:p>
    <w:p w14:paraId="1D1159B3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计划上线时间：</w:t>
      </w:r>
    </w:p>
    <w:p w14:paraId="63E001A3">
      <w:pPr>
        <w:adjustRightInd w:val="0"/>
        <w:spacing w:before="120" w:after="120"/>
        <w:rPr>
          <w:rFonts w:hint="default" w:ascii="Arial" w:hAnsi="Arial" w:eastAsia="仿宋_GB2312" w:cs="Arial"/>
          <w:szCs w:val="21"/>
          <w:lang w:val="en-US" w:eastAsia="zh-CN"/>
        </w:rPr>
      </w:pPr>
      <w:r>
        <w:rPr>
          <w:rFonts w:hint="eastAsia" w:ascii="Arial" w:hAnsi="Arial" w:eastAsia="仿宋_GB2312" w:cs="Arial"/>
          <w:szCs w:val="21"/>
        </w:rPr>
        <w:t>公告栏内容：</w:t>
      </w:r>
      <w:r>
        <w:rPr>
          <w:rFonts w:hint="eastAsia" w:ascii="Arial" w:hAnsi="Arial" w:eastAsia="仿宋_GB2312" w:cs="Arial"/>
          <w:szCs w:val="21"/>
          <w:lang w:val="en-US" w:eastAsia="zh-CN"/>
        </w:rPr>
        <w:t>伤残鉴定机构录入页面优化。</w:t>
      </w:r>
    </w:p>
    <w:p w14:paraId="7200288E"/>
    <w:p w14:paraId="290FC698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14" w:name="_Toc14577"/>
      <w:bookmarkStart w:id="15" w:name="_Toc374005703"/>
      <w:r>
        <w:rPr>
          <w:rFonts w:hint="eastAsia" w:ascii="黑体" w:hAnsi="黑体" w:eastAsia="黑体"/>
        </w:rPr>
        <w:t>功能性需求</w:t>
      </w:r>
      <w:bookmarkEnd w:id="14"/>
      <w:bookmarkEnd w:id="15"/>
    </w:p>
    <w:p w14:paraId="285D958D">
      <w:pPr>
        <w:pStyle w:val="3"/>
        <w:rPr>
          <w:snapToGrid w:val="0"/>
          <w:kern w:val="0"/>
        </w:rPr>
      </w:pPr>
      <w:bookmarkStart w:id="16" w:name="_Toc374005704"/>
      <w:bookmarkStart w:id="17" w:name="_Toc29953"/>
      <w:r>
        <w:rPr>
          <w:rFonts w:hint="eastAsia"/>
          <w:snapToGrid w:val="0"/>
          <w:kern w:val="0"/>
        </w:rPr>
        <w:t>需求</w:t>
      </w:r>
      <w:r>
        <w:rPr>
          <w:snapToGrid w:val="0"/>
          <w:kern w:val="0"/>
        </w:rPr>
        <w:t>1</w:t>
      </w:r>
      <w:bookmarkEnd w:id="16"/>
      <w:r>
        <w:rPr>
          <w:rFonts w:hint="eastAsia"/>
          <w:snapToGrid w:val="0"/>
          <w:kern w:val="0"/>
          <w:lang w:val="en-US" w:eastAsia="zh-CN"/>
        </w:rPr>
        <w:t>车险理赔系统</w:t>
      </w:r>
      <w:bookmarkEnd w:id="17"/>
    </w:p>
    <w:p w14:paraId="62D7A20D">
      <w:pPr>
        <w:pStyle w:val="4"/>
        <w:rPr>
          <w:rFonts w:ascii="黑体" w:hAnsi="黑体" w:eastAsia="黑体"/>
        </w:rPr>
      </w:pPr>
      <w:bookmarkStart w:id="18" w:name="_Toc2967"/>
      <w:r>
        <w:rPr>
          <w:rFonts w:hint="eastAsia" w:ascii="黑体" w:hAnsi="黑体" w:eastAsia="黑体"/>
        </w:rPr>
        <w:t>功能描述</w:t>
      </w:r>
      <w:bookmarkEnd w:id="18"/>
    </w:p>
    <w:p w14:paraId="04DDEB58">
      <w:pPr>
        <w:pStyle w:val="4"/>
        <w:rPr>
          <w:rFonts w:ascii="黑体" w:hAnsi="黑体" w:eastAsia="黑体"/>
        </w:rPr>
      </w:pPr>
      <w:bookmarkStart w:id="19" w:name="_Toc25968"/>
      <w:r>
        <w:rPr>
          <w:rFonts w:hint="eastAsia" w:ascii="黑体" w:hAnsi="黑体" w:eastAsia="黑体"/>
        </w:rPr>
        <w:t>业务规则/算法</w:t>
      </w:r>
      <w:bookmarkEnd w:id="19"/>
    </w:p>
    <w:p w14:paraId="6BB83C02">
      <w:pPr>
        <w:rPr>
          <w:rFonts w:hint="eastAsia" w:eastAsia="宋体"/>
          <w:lang w:eastAsia="zh-CN"/>
        </w:rPr>
      </w:pPr>
      <w:r>
        <w:drawing>
          <wp:inline distT="0" distB="0" distL="114300" distR="114300">
            <wp:extent cx="5262880" cy="529590"/>
            <wp:effectExtent l="9525" t="9525" r="23495" b="133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52959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38A712C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817110" cy="2280285"/>
            <wp:effectExtent l="9525" t="9525" r="12065" b="15240"/>
            <wp:docPr id="6" name="图片 6" descr="页面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页面 1"/>
                    <pic:cNvPicPr>
                      <a:picLocks noChangeAspect="1"/>
                    </pic:cNvPicPr>
                  </pic:nvPicPr>
                  <pic:blipFill>
                    <a:blip r:embed="rId9"/>
                    <a:srcRect l="3954" t="6651" r="4605" b="7131"/>
                    <a:stretch>
                      <a:fillRect/>
                    </a:stretch>
                  </pic:blipFill>
                  <pic:spPr>
                    <a:xfrm>
                      <a:off x="0" y="0"/>
                      <a:ext cx="4817110" cy="2280285"/>
                    </a:xfrm>
                    <a:prstGeom prst="rect">
                      <a:avLst/>
                    </a:prstGeom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16E9591F">
      <w:pPr>
        <w:numPr>
          <w:ilvl w:val="0"/>
          <w:numId w:val="3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人伤处理信息-伤残信息级鉴定信息录入由图1调整至图2，初始化时仅显示伤残信息录入区域，不显示鉴定人信息录入区域。</w:t>
      </w:r>
    </w:p>
    <w:p w14:paraId="56255924">
      <w:pPr>
        <w:numPr>
          <w:ilvl w:val="0"/>
          <w:numId w:val="3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是否免鉴定、伤残标准、伤残等级、残疾项目代码、受伤部位与现在录入规范保持一致。</w:t>
      </w:r>
    </w:p>
    <w:p w14:paraId="7BA303E0">
      <w:pPr>
        <w:numPr>
          <w:ilvl w:val="0"/>
          <w:numId w:val="3"/>
        </w:numPr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是否免鉴定为“是”时，</w:t>
      </w:r>
    </w:p>
    <w:p w14:paraId="24B56B5A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自动新增一条鉴定人信息，评残机构默认为“自主评残”，评残日期必录，且该条信息不支持删除。</w:t>
      </w:r>
    </w:p>
    <w:p w14:paraId="1249A2DB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鉴定人、鉴定师资格证号、鉴定类型，机构评分为空。</w:t>
      </w:r>
    </w:p>
    <w:p w14:paraId="00B5D173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控制该条伤情不能人工新增鉴定信息。</w:t>
      </w:r>
    </w:p>
    <w:p w14:paraId="5B9CBE7C">
      <w:pPr>
        <w:numPr>
          <w:ilvl w:val="0"/>
          <w:numId w:val="3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是否免鉴定为“否”时，</w:t>
      </w:r>
    </w:p>
    <w:p w14:paraId="5E0B082D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自动新增两条空白鉴定人信息录入行；</w:t>
      </w:r>
    </w:p>
    <w:p w14:paraId="03E40754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评残机构：下拉选项，选择范围为人伤数据库中维护的鉴定机构。</w:t>
      </w:r>
    </w:p>
    <w:p w14:paraId="63665E22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鉴定人：下拉选项，选择范围为人伤数据库中该鉴定机构的鉴定人。</w:t>
      </w:r>
    </w:p>
    <w:p w14:paraId="2F578D83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鉴定师资格证号：根据选中的鉴定人自动带出。不可修改。</w:t>
      </w:r>
    </w:p>
    <w:p w14:paraId="112CA8EA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鉴定类型：码值如下：</w:t>
      </w:r>
    </w:p>
    <w:tbl>
      <w:tblPr>
        <w:tblStyle w:val="23"/>
        <w:tblW w:w="3904" w:type="dxa"/>
        <w:tblInd w:w="136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2884"/>
      </w:tblGrid>
      <w:tr w14:paraId="5B7934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20" w:type="dxa"/>
            <w:noWrap w:val="0"/>
            <w:vAlign w:val="center"/>
          </w:tcPr>
          <w:p w14:paraId="1CB826FE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FYBL</w:t>
            </w:r>
          </w:p>
        </w:tc>
        <w:tc>
          <w:tcPr>
            <w:tcW w:w="2884" w:type="dxa"/>
            <w:noWrap w:val="0"/>
            <w:vAlign w:val="center"/>
          </w:tcPr>
          <w:p w14:paraId="682DAFDC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法医病理鉴定</w:t>
            </w:r>
          </w:p>
        </w:tc>
      </w:tr>
      <w:tr w14:paraId="2D90C6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20" w:type="dxa"/>
            <w:noWrap w:val="0"/>
            <w:vAlign w:val="center"/>
          </w:tcPr>
          <w:p w14:paraId="229FE812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FYLC</w:t>
            </w:r>
          </w:p>
        </w:tc>
        <w:tc>
          <w:tcPr>
            <w:tcW w:w="2884" w:type="dxa"/>
            <w:noWrap w:val="0"/>
            <w:vAlign w:val="center"/>
          </w:tcPr>
          <w:p w14:paraId="560FE2AF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法医临床鉴定</w:t>
            </w:r>
          </w:p>
        </w:tc>
      </w:tr>
      <w:tr w14:paraId="5B1F0B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20" w:type="dxa"/>
            <w:noWrap w:val="0"/>
            <w:vAlign w:val="center"/>
          </w:tcPr>
          <w:p w14:paraId="4D25C35B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FYJS</w:t>
            </w:r>
          </w:p>
        </w:tc>
        <w:tc>
          <w:tcPr>
            <w:tcW w:w="2884" w:type="dxa"/>
            <w:noWrap w:val="0"/>
            <w:vAlign w:val="center"/>
          </w:tcPr>
          <w:p w14:paraId="469E3ECD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法医精神病鉴定</w:t>
            </w:r>
          </w:p>
        </w:tc>
      </w:tr>
    </w:tbl>
    <w:p w14:paraId="1B9F5813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鉴定机构评分：下拉选项，码值1~10的整数，必录。</w:t>
      </w:r>
    </w:p>
    <w:p w14:paraId="7853C136">
      <w:pPr>
        <w:numPr>
          <w:ilvl w:val="1"/>
          <w:numId w:val="3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是否推翻鉴定：码值：是、否，默认否，必录。</w:t>
      </w:r>
    </w:p>
    <w:p w14:paraId="672E2F52">
      <w:pPr>
        <w:numPr>
          <w:ilvl w:val="0"/>
          <w:numId w:val="3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伤残信息增加/删除：</w:t>
      </w:r>
    </w:p>
    <w:p w14:paraId="4D53A882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895350" cy="657225"/>
            <wp:effectExtent l="0" t="0" r="0" b="9525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3C1D32">
      <w:pPr>
        <w:numPr>
          <w:ilvl w:val="1"/>
          <w:numId w:val="3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点击【增加伤残】按钮，新增伤残信息录入行，不显示鉴定人信息录入区域。</w:t>
      </w:r>
    </w:p>
    <w:p w14:paraId="09D4D74B">
      <w:pPr>
        <w:numPr>
          <w:ilvl w:val="1"/>
          <w:numId w:val="3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点击【删除伤残】按钮，删除本条伤残信息及录入的鉴定人信息。</w:t>
      </w:r>
    </w:p>
    <w:p w14:paraId="44B2C98D">
      <w:pPr>
        <w:numPr>
          <w:ilvl w:val="0"/>
          <w:numId w:val="3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鉴定人信息增加/删除：</w:t>
      </w:r>
    </w:p>
    <w:p w14:paraId="5EA48D7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1257300" cy="1419225"/>
            <wp:effectExtent l="0" t="0" r="0" b="9525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AD50A9">
      <w:pPr>
        <w:numPr>
          <w:ilvl w:val="1"/>
          <w:numId w:val="3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点击【×】按钮，删除选中的鉴定人信息。</w:t>
      </w:r>
    </w:p>
    <w:p w14:paraId="4ACAD2EC">
      <w:pPr>
        <w:numPr>
          <w:ilvl w:val="1"/>
          <w:numId w:val="3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点击【增加鉴定人】，新增一条鉴定人信息录入行。</w:t>
      </w:r>
    </w:p>
    <w:p w14:paraId="2036CBBF">
      <w:pPr>
        <w:numPr>
          <w:ilvl w:val="0"/>
          <w:numId w:val="3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人伤跟踪提交时，控制每条不免鉴定的伤残信息都至少包含2条（≥2）鉴定人信息。</w:t>
      </w:r>
    </w:p>
    <w:p w14:paraId="644263C8">
      <w:pPr>
        <w:pStyle w:val="4"/>
        <w:rPr>
          <w:rFonts w:ascii="黑体" w:hAnsi="黑体" w:eastAsia="黑体"/>
        </w:rPr>
      </w:pPr>
      <w:bookmarkStart w:id="20" w:name="_Toc17730"/>
      <w:r>
        <w:rPr>
          <w:rFonts w:hint="eastAsia" w:ascii="黑体" w:hAnsi="黑体" w:eastAsia="黑体"/>
        </w:rPr>
        <w:t>界面原型</w:t>
      </w:r>
      <w:bookmarkEnd w:id="20"/>
    </w:p>
    <w:p w14:paraId="0FC71DB3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3BDFFBDD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1F25314A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786084DB">
      <w:pPr>
        <w:pStyle w:val="3"/>
        <w:rPr>
          <w:snapToGrid w:val="0"/>
          <w:kern w:val="0"/>
        </w:rPr>
      </w:pPr>
      <w:bookmarkStart w:id="21" w:name="_Toc19240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移动理赔系统</w:t>
      </w:r>
      <w:bookmarkEnd w:id="21"/>
    </w:p>
    <w:p w14:paraId="59D4C823">
      <w:pPr>
        <w:pStyle w:val="4"/>
        <w:rPr>
          <w:rFonts w:ascii="黑体" w:hAnsi="黑体" w:eastAsia="黑体"/>
        </w:rPr>
      </w:pPr>
      <w:bookmarkStart w:id="22" w:name="_Toc16663"/>
      <w:r>
        <w:rPr>
          <w:rFonts w:hint="eastAsia" w:ascii="黑体" w:hAnsi="黑体" w:eastAsia="黑体"/>
        </w:rPr>
        <w:t>功能描述</w:t>
      </w:r>
      <w:bookmarkEnd w:id="22"/>
    </w:p>
    <w:p w14:paraId="66082D4C">
      <w:pPr>
        <w:pStyle w:val="4"/>
        <w:rPr>
          <w:rFonts w:ascii="黑体" w:hAnsi="黑体" w:eastAsia="黑体"/>
        </w:rPr>
      </w:pPr>
      <w:bookmarkStart w:id="23" w:name="_Toc8533"/>
      <w:r>
        <w:rPr>
          <w:rFonts w:hint="eastAsia" w:ascii="黑体" w:hAnsi="黑体" w:eastAsia="黑体"/>
        </w:rPr>
        <w:t>业务规则/算法</w:t>
      </w:r>
      <w:bookmarkEnd w:id="23"/>
    </w:p>
    <w:p w14:paraId="52196ECC">
      <w:pPr>
        <w:rPr>
          <w:rFonts w:hint="eastAsia" w:eastAsia="黑体"/>
          <w:lang w:eastAsia="zh-CN"/>
        </w:rPr>
      </w:pPr>
    </w:p>
    <w:p w14:paraId="646807D1">
      <w:pPr>
        <w:rPr>
          <w:rFonts w:hint="eastAsia" w:eastAsia="黑体"/>
          <w:lang w:eastAsia="zh-CN"/>
        </w:rPr>
      </w:pPr>
      <w:r>
        <w:rPr>
          <w:rFonts w:hint="eastAsia" w:eastAsia="黑体"/>
          <w:lang w:eastAsia="zh-CN"/>
        </w:rPr>
        <w:drawing>
          <wp:inline distT="0" distB="0" distL="114300" distR="114300">
            <wp:extent cx="2160270" cy="4349115"/>
            <wp:effectExtent l="9525" t="9525" r="20955" b="22860"/>
            <wp:docPr id="9" name="图片 9" descr="企业微信截图_175153080657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企业微信截图_17515308065740"/>
                    <pic:cNvPicPr>
                      <a:picLocks noChangeAspect="1"/>
                    </pic:cNvPicPr>
                  </pic:nvPicPr>
                  <pic:blipFill>
                    <a:blip r:embed="rId12"/>
                    <a:srcRect l="18003" r="13271"/>
                    <a:stretch>
                      <a:fillRect/>
                    </a:stretch>
                  </pic:blipFill>
                  <pic:spPr>
                    <a:xfrm>
                      <a:off x="0" y="0"/>
                      <a:ext cx="2160270" cy="4349115"/>
                    </a:xfrm>
                    <a:prstGeom prst="rect">
                      <a:avLst/>
                    </a:prstGeom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2581AFD5">
      <w:pPr>
        <w:numPr>
          <w:ilvl w:val="0"/>
          <w:numId w:val="4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人伤处理信息-伤残信息调整为伤残信息录入区域+鉴定人信息录入区域；</w:t>
      </w:r>
      <w:r>
        <w:rPr>
          <w:rFonts w:hint="eastAsia" w:ascii="仿宋" w:hAnsi="仿宋" w:eastAsia="仿宋" w:cs="仿宋"/>
          <w:color w:val="FF0000"/>
          <w:sz w:val="24"/>
          <w:szCs w:val="24"/>
          <w:lang w:val="en-US" w:eastAsia="zh-CN"/>
        </w:rPr>
        <w:t>初始化时仅显示伤残信息录入区域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，不显示鉴定人信息录入区域。</w:t>
      </w:r>
    </w:p>
    <w:p w14:paraId="1D04F9B9">
      <w:pPr>
        <w:numPr>
          <w:ilvl w:val="0"/>
          <w:numId w:val="4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伤残信息录入字段区域：是否免鉴定、伤残标准、伤残等级、残疾项目代码、受伤部位，这些字段与现在录入规范保持一致。</w:t>
      </w:r>
    </w:p>
    <w:p w14:paraId="058E0CBA">
      <w:pPr>
        <w:numPr>
          <w:ilvl w:val="0"/>
          <w:numId w:val="4"/>
        </w:num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鉴定人信息区域录入字段：评残机构、评残日期、鉴定人、鉴定师资格证号、鉴定类型、机构评分。每条伤残信息支持录入多条鉴定人信息。</w:t>
      </w:r>
    </w:p>
    <w:p w14:paraId="1EA2FB71">
      <w:pPr>
        <w:numPr>
          <w:ilvl w:val="0"/>
          <w:numId w:val="4"/>
        </w:numPr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是否免鉴定为“是”时，</w:t>
      </w:r>
    </w:p>
    <w:p w14:paraId="71005CB3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自动新增一条鉴定人信息，评残机构默认为“自主评残”，评残日期必录，且该条信息不支持删除。</w:t>
      </w:r>
    </w:p>
    <w:p w14:paraId="57B20F8B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鉴定人、鉴定师资格证号、鉴定类型，机构评分为空。</w:t>
      </w:r>
    </w:p>
    <w:p w14:paraId="7ED3D54D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控制该条伤情不能人工新增鉴定信息。</w:t>
      </w:r>
    </w:p>
    <w:p w14:paraId="3CDFC486">
      <w:pPr>
        <w:numPr>
          <w:ilvl w:val="0"/>
          <w:numId w:val="4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是否免鉴定为“否”时，</w:t>
      </w:r>
    </w:p>
    <w:p w14:paraId="38696AF8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自动新增两条空白鉴定人信息录入行；</w:t>
      </w:r>
    </w:p>
    <w:p w14:paraId="446C6EEB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评残机构：下拉选项，选择范围为人伤数据库中维护的鉴定机构。</w:t>
      </w:r>
    </w:p>
    <w:p w14:paraId="0E2E639D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color w:val="FF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FF0000"/>
          <w:sz w:val="24"/>
          <w:szCs w:val="24"/>
          <w:lang w:val="en-US" w:eastAsia="zh-CN"/>
        </w:rPr>
        <w:t>鉴定人：下拉选项，选择范围为人伤数据库中该鉴定机构的鉴定人。</w:t>
      </w:r>
    </w:p>
    <w:p w14:paraId="6F03CE1D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color w:val="FF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FF0000"/>
          <w:sz w:val="24"/>
          <w:szCs w:val="24"/>
          <w:lang w:val="en-US" w:eastAsia="zh-CN"/>
        </w:rPr>
        <w:t>鉴定师资格证号：根据选中的鉴定人自动带出。不可修改。</w:t>
      </w:r>
    </w:p>
    <w:p w14:paraId="36DF1CA9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鉴定类型：码值如下：</w:t>
      </w:r>
    </w:p>
    <w:tbl>
      <w:tblPr>
        <w:tblStyle w:val="23"/>
        <w:tblW w:w="3904" w:type="dxa"/>
        <w:tblInd w:w="136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2884"/>
      </w:tblGrid>
      <w:tr w14:paraId="286536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20" w:type="dxa"/>
            <w:noWrap w:val="0"/>
            <w:vAlign w:val="center"/>
          </w:tcPr>
          <w:p w14:paraId="6F26C7C7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FYBL</w:t>
            </w:r>
          </w:p>
        </w:tc>
        <w:tc>
          <w:tcPr>
            <w:tcW w:w="2884" w:type="dxa"/>
            <w:noWrap w:val="0"/>
            <w:vAlign w:val="center"/>
          </w:tcPr>
          <w:p w14:paraId="4FEF596E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法医病理鉴定</w:t>
            </w:r>
          </w:p>
        </w:tc>
      </w:tr>
      <w:tr w14:paraId="31BD3E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20" w:type="dxa"/>
            <w:noWrap w:val="0"/>
            <w:vAlign w:val="center"/>
          </w:tcPr>
          <w:p w14:paraId="2BEC5A19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FYLC</w:t>
            </w:r>
          </w:p>
        </w:tc>
        <w:tc>
          <w:tcPr>
            <w:tcW w:w="2884" w:type="dxa"/>
            <w:noWrap w:val="0"/>
            <w:vAlign w:val="center"/>
          </w:tcPr>
          <w:p w14:paraId="27CC835C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法医临床鉴定</w:t>
            </w:r>
          </w:p>
        </w:tc>
      </w:tr>
      <w:tr w14:paraId="6102F7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20" w:type="dxa"/>
            <w:noWrap w:val="0"/>
            <w:vAlign w:val="center"/>
          </w:tcPr>
          <w:p w14:paraId="73803A50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FYJS</w:t>
            </w:r>
          </w:p>
        </w:tc>
        <w:tc>
          <w:tcPr>
            <w:tcW w:w="2884" w:type="dxa"/>
            <w:noWrap w:val="0"/>
            <w:vAlign w:val="center"/>
          </w:tcPr>
          <w:p w14:paraId="780EB4B9">
            <w:pPr>
              <w:widowControl/>
              <w:jc w:val="left"/>
              <w:textAlignment w:val="center"/>
              <w:rPr>
                <w:rFonts w:hint="eastAsia"/>
                <w:i/>
                <w:color w:val="0000FF"/>
              </w:rPr>
            </w:pPr>
            <w:r>
              <w:rPr>
                <w:rFonts w:hint="eastAsia" w:ascii="宋体" w:hAnsi="宋体" w:cs="宋体"/>
                <w:color w:val="0000FF"/>
                <w:kern w:val="0"/>
                <w:sz w:val="24"/>
                <w:lang w:bidi="ar"/>
              </w:rPr>
              <w:t>法医精神病鉴定</w:t>
            </w:r>
          </w:p>
        </w:tc>
      </w:tr>
    </w:tbl>
    <w:p w14:paraId="648BCF02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鉴定机构评分：下拉选项，码值1~10的整数，必录。</w:t>
      </w:r>
    </w:p>
    <w:p w14:paraId="46AA82C8">
      <w:pPr>
        <w:numPr>
          <w:ilvl w:val="1"/>
          <w:numId w:val="4"/>
        </w:numPr>
        <w:ind w:left="840" w:leftChars="0" w:hanging="42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是否推翻鉴定：码值：是、否，默认否，必录。</w:t>
      </w:r>
    </w:p>
    <w:p w14:paraId="1092B1F9">
      <w:pPr>
        <w:numPr>
          <w:ilvl w:val="0"/>
          <w:numId w:val="4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伤残信息增加/删除：</w:t>
      </w:r>
    </w:p>
    <w:p w14:paraId="709D1F80">
      <w:pPr>
        <w:numPr>
          <w:ilvl w:val="1"/>
          <w:numId w:val="4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点击【增加伤残】按钮，新增伤残信息录入行，不显示鉴定人信息录入区域。</w:t>
      </w:r>
    </w:p>
    <w:p w14:paraId="4F0817CA">
      <w:pPr>
        <w:numPr>
          <w:ilvl w:val="1"/>
          <w:numId w:val="4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点击【删除伤残】按钮，删除本条伤残信息及录入的鉴定人信息。</w:t>
      </w:r>
    </w:p>
    <w:p w14:paraId="0051B1E1">
      <w:pPr>
        <w:numPr>
          <w:ilvl w:val="0"/>
          <w:numId w:val="4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鉴定人信息增加/删除：</w:t>
      </w:r>
    </w:p>
    <w:p w14:paraId="0E746AE3">
      <w:pPr>
        <w:numPr>
          <w:ilvl w:val="1"/>
          <w:numId w:val="4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点击【×】按钮，删除选中的鉴定人信息。</w:t>
      </w:r>
    </w:p>
    <w:p w14:paraId="634B65DB">
      <w:pPr>
        <w:numPr>
          <w:ilvl w:val="1"/>
          <w:numId w:val="4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点击【增加鉴定人】，新增一条鉴定人信息录入行。</w:t>
      </w:r>
    </w:p>
    <w:p w14:paraId="6BEAE328">
      <w:pPr>
        <w:numPr>
          <w:ilvl w:val="0"/>
          <w:numId w:val="4"/>
        </w:numPr>
        <w:ind w:left="0" w:leftChars="0" w:firstLine="0" w:firstLineChars="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人伤跟踪提交时，控制每条不免鉴定的伤残信息都至少包含2条（≥2）鉴定人信息。</w:t>
      </w:r>
    </w:p>
    <w:p w14:paraId="73C13C5A">
      <w:pPr>
        <w:pStyle w:val="4"/>
        <w:rPr>
          <w:rFonts w:ascii="黑体" w:hAnsi="黑体" w:eastAsia="黑体"/>
        </w:rPr>
      </w:pPr>
      <w:bookmarkStart w:id="24" w:name="_Toc28584"/>
      <w:r>
        <w:rPr>
          <w:rFonts w:hint="eastAsia" w:ascii="黑体" w:hAnsi="黑体" w:eastAsia="黑体"/>
        </w:rPr>
        <w:t>界面原型</w:t>
      </w:r>
      <w:bookmarkEnd w:id="24"/>
    </w:p>
    <w:p w14:paraId="6015A9E0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454B9928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0191E507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6855CAF4"/>
    <w:p w14:paraId="76FE3000">
      <w:pPr>
        <w:pStyle w:val="3"/>
        <w:rPr>
          <w:snapToGrid w:val="0"/>
          <w:kern w:val="0"/>
        </w:rPr>
      </w:pPr>
      <w:bookmarkStart w:id="25" w:name="_Toc22520"/>
      <w:bookmarkStart w:id="26" w:name="_Toc374005706"/>
      <w:r>
        <w:rPr>
          <w:rFonts w:hint="eastAsia"/>
          <w:snapToGrid w:val="0"/>
          <w:kern w:val="0"/>
        </w:rPr>
        <w:t>与外部系统接口</w:t>
      </w:r>
      <w:bookmarkEnd w:id="25"/>
      <w:bookmarkEnd w:id="26"/>
    </w:p>
    <w:p w14:paraId="119F1D1C">
      <w:pPr>
        <w:pStyle w:val="3"/>
        <w:rPr>
          <w:snapToGrid w:val="0"/>
          <w:kern w:val="0"/>
        </w:rPr>
      </w:pPr>
      <w:bookmarkStart w:id="27" w:name="_Toc991"/>
      <w:bookmarkStart w:id="28" w:name="_Toc374005707"/>
      <w:r>
        <w:rPr>
          <w:rFonts w:hint="eastAsia"/>
          <w:snapToGrid w:val="0"/>
          <w:kern w:val="0"/>
        </w:rPr>
        <w:t>关联需求</w:t>
      </w:r>
      <w:bookmarkEnd w:id="27"/>
      <w:bookmarkEnd w:id="28"/>
    </w:p>
    <w:p w14:paraId="71FAD4C6">
      <w:pPr>
        <w:pStyle w:val="3"/>
        <w:rPr>
          <w:snapToGrid w:val="0"/>
          <w:kern w:val="0"/>
        </w:rPr>
      </w:pPr>
      <w:bookmarkStart w:id="29" w:name="_Toc30098"/>
      <w:r>
        <w:rPr>
          <w:rFonts w:hint="eastAsia"/>
          <w:snapToGrid w:val="0"/>
          <w:kern w:val="0"/>
        </w:rPr>
        <w:t>历史数据处理</w:t>
      </w:r>
      <w:bookmarkEnd w:id="29"/>
    </w:p>
    <w:p w14:paraId="0C196983">
      <w:pPr>
        <w:rPr>
          <w:rFonts w:ascii="Arial" w:hAnsi="Arial" w:eastAsia="仿宋_GB2312" w:cs="Arial"/>
          <w:i/>
          <w:color w:val="0000FF"/>
        </w:rPr>
      </w:pPr>
    </w:p>
    <w:p w14:paraId="101A6AF2">
      <w:pPr>
        <w:pStyle w:val="3"/>
        <w:rPr>
          <w:snapToGrid w:val="0"/>
          <w:kern w:val="0"/>
        </w:rPr>
      </w:pPr>
      <w:bookmarkStart w:id="30" w:name="_Toc5235"/>
      <w:r>
        <w:rPr>
          <w:rFonts w:hint="eastAsia"/>
          <w:snapToGrid w:val="0"/>
          <w:kern w:val="0"/>
        </w:rPr>
        <w:t>相关附件</w:t>
      </w:r>
      <w:bookmarkEnd w:id="30"/>
    </w:p>
    <w:tbl>
      <w:tblPr>
        <w:tblStyle w:val="23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1"/>
        <w:gridCol w:w="3111"/>
        <w:gridCol w:w="2378"/>
        <w:gridCol w:w="2219"/>
      </w:tblGrid>
      <w:tr w14:paraId="1DD56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253B3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41B6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资料名称</w:t>
            </w:r>
            <w:r>
              <w:rPr>
                <w:rFonts w:ascii="Arial" w:hAnsi="Arial" w:cs="Arial"/>
                <w:szCs w:val="21"/>
              </w:rPr>
              <w:t>/</w:t>
            </w:r>
            <w:r>
              <w:rPr>
                <w:rFonts w:hint="eastAsia" w:ascii="Arial" w:hAnsi="Arial" w:cs="Arial"/>
                <w:szCs w:val="21"/>
              </w:rPr>
              <w:t>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24CC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资料标识</w:t>
            </w: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5F4A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资料来源</w:t>
            </w:r>
          </w:p>
        </w:tc>
      </w:tr>
      <w:tr w14:paraId="7B163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5D20C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83AE3">
            <w:pPr>
              <w:autoSpaceDE w:val="0"/>
              <w:autoSpaceDN w:val="0"/>
              <w:adjustRightInd w:val="0"/>
              <w:rPr>
                <w:rFonts w:hint="default" w:ascii="Arial" w:hAnsi="Arial" w:eastAsia="宋体" w:cs="Arial"/>
                <w:szCs w:val="21"/>
                <w:lang w:val="en-US" w:eastAsia="zh-CN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2ACF06">
            <w:pPr>
              <w:autoSpaceDE w:val="0"/>
              <w:autoSpaceDN w:val="0"/>
              <w:adjustRightInd w:val="0"/>
              <w:jc w:val="center"/>
              <w:rPr>
                <w:rFonts w:hint="eastAsia" w:ascii="Arial" w:hAnsi="Arial" w:eastAsia="宋体" w:cs="Arial"/>
                <w:szCs w:val="21"/>
                <w:lang w:eastAsia="zh-CN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28A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14:paraId="0AB8C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70E97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4A7F2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0693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C45A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 w14:paraId="25FFF13B"/>
    <w:p w14:paraId="0525FF77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31" w:name="_Toc8018"/>
      <w:bookmarkStart w:id="32" w:name="_Toc374005708"/>
      <w:r>
        <w:rPr>
          <w:rFonts w:hint="eastAsia" w:ascii="黑体" w:hAnsi="黑体" w:eastAsia="黑体"/>
        </w:rPr>
        <w:t>非功能性需求</w:t>
      </w:r>
      <w:bookmarkEnd w:id="31"/>
      <w:bookmarkEnd w:id="32"/>
    </w:p>
    <w:p w14:paraId="11668523">
      <w:pPr>
        <w:pStyle w:val="3"/>
        <w:rPr>
          <w:snapToGrid w:val="0"/>
          <w:kern w:val="0"/>
        </w:rPr>
      </w:pPr>
      <w:bookmarkStart w:id="33" w:name="_Toc374005715"/>
      <w:bookmarkStart w:id="34" w:name="_Toc15839"/>
      <w:bookmarkStart w:id="35" w:name="_Toc374005709"/>
      <w:r>
        <w:rPr>
          <w:rFonts w:hint="eastAsia"/>
          <w:snapToGrid w:val="0"/>
          <w:kern w:val="0"/>
        </w:rPr>
        <w:t>安全性需求</w:t>
      </w:r>
      <w:bookmarkEnd w:id="33"/>
      <w:bookmarkEnd w:id="34"/>
    </w:p>
    <w:p w14:paraId="69631886">
      <w:pPr>
        <w:adjustRightInd w:val="0"/>
        <w:spacing w:before="120" w:after="120"/>
        <w:rPr>
          <w:rFonts w:cs="Arial" w:asciiTheme="minorEastAsia" w:hAnsiTheme="minorEastAsia" w:eastAsiaTheme="minorEastAsia"/>
          <w:szCs w:val="21"/>
        </w:rPr>
      </w:pPr>
      <w:r>
        <w:rPr>
          <w:rFonts w:hint="eastAsia" w:cs="Arial" w:asciiTheme="minorEastAsia" w:hAnsiTheme="minorEastAsia" w:eastAsiaTheme="minorEastAsia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1D101675">
      <w:pPr>
        <w:pStyle w:val="3"/>
        <w:rPr>
          <w:snapToGrid w:val="0"/>
          <w:kern w:val="0"/>
        </w:rPr>
      </w:pPr>
      <w:bookmarkStart w:id="36" w:name="_Toc936"/>
      <w:r>
        <w:rPr>
          <w:rFonts w:hint="eastAsia"/>
          <w:snapToGrid w:val="0"/>
          <w:kern w:val="0"/>
        </w:rPr>
        <w:t>其他非功能性需求</w:t>
      </w:r>
      <w:bookmarkEnd w:id="36"/>
    </w:p>
    <w:bookmarkEnd w:id="35"/>
    <w:p w14:paraId="173B491B">
      <w:pPr>
        <w:adjustRightInd w:val="0"/>
        <w:spacing w:before="120" w:after="120"/>
        <w:rPr>
          <w:rFonts w:hint="eastAsia" w:ascii="Arial" w:hAnsi="Arial" w:eastAsia="仿宋_GB2312" w:cs="Arial"/>
          <w:i/>
          <w:color w:val="0000FF"/>
          <w:sz w:val="24"/>
          <w:lang w:val="en-US" w:eastAsia="zh-CN"/>
        </w:rPr>
      </w:pPr>
      <w:r>
        <w:rPr>
          <w:rFonts w:hint="eastAsia" w:ascii="Arial" w:hAnsi="Arial" w:eastAsia="仿宋_GB2312" w:cs="Arial"/>
          <w:i/>
          <w:color w:val="0000FF"/>
          <w:sz w:val="24"/>
          <w:lang w:val="en-US" w:eastAsia="zh-CN"/>
        </w:rPr>
        <w:t>崔俊给的假数据，</w:t>
      </w:r>
      <w:r>
        <w:rPr>
          <w:rFonts w:ascii="宋体" w:hAnsi="宋体" w:eastAsia="宋体" w:cs="宋体"/>
          <w:sz w:val="24"/>
          <w:szCs w:val="24"/>
        </w:rPr>
        <w:t>伤残这几个机构有鉴定人</w:t>
      </w:r>
    </w:p>
    <w:p w14:paraId="4025C159">
      <w:pPr>
        <w:adjustRightInd w:val="0"/>
        <w:spacing w:before="120" w:after="120"/>
        <w:rPr>
          <w:rFonts w:hint="eastAsia" w:ascii="宋体" w:hAnsi="宋体" w:cs="宋体"/>
          <w:color w:val="FF0000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丹阳市中医院司法鉴定所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上海市浦东新区浦南医院司法鉴定所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上海市东方医院司法鉴定所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上海市浦东新区公利医院司法鉴定所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hint="eastAsia" w:ascii="宋体" w:hAnsi="宋体" w:cs="宋体"/>
          <w:color w:val="FF0000"/>
          <w:sz w:val="24"/>
          <w:szCs w:val="24"/>
          <w:lang w:val="en-US" w:eastAsia="zh-CN"/>
        </w:rPr>
        <w:t>车险跟意健险都是用的同一套鉴定机构；所以也要测试一下</w:t>
      </w:r>
    </w:p>
    <w:p w14:paraId="3446EED3">
      <w:pPr>
        <w:adjustRightInd w:val="0"/>
        <w:spacing w:before="120" w:after="120"/>
        <w:rPr>
          <w:rFonts w:hint="default" w:ascii="宋体" w:hAnsi="宋体" w:cs="宋体"/>
          <w:color w:val="FF0000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hint="eastAsia" w:ascii="宋体" w:hAnsi="宋体" w:cs="宋体"/>
          <w:color w:val="FF0000"/>
          <w:sz w:val="24"/>
          <w:szCs w:val="24"/>
          <w:lang w:val="en-US" w:eastAsia="zh-CN"/>
        </w:rPr>
        <w:t>财产险是不同于车险的一条鉴定机构；</w:t>
      </w:r>
      <w:bookmarkStart w:id="37" w:name="_GoBack"/>
      <w:bookmarkEnd w:id="37"/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356D5D">
    <w:pPr>
      <w:pStyle w:val="17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  <w:r>
      <w:rPr>
        <w:szCs w:val="21"/>
      </w:rPr>
      <w:t xml:space="preserve"> </w:t>
    </w:r>
    <w:r>
      <w:rPr>
        <w:rFonts w:hint="eastAsia"/>
        <w:szCs w:val="21"/>
      </w:rPr>
      <w:t>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2991D7">
    <w:pPr>
      <w:pStyle w:val="17"/>
      <w:ind w:right="-40"/>
    </w:pPr>
    <w:r>
      <w:tab/>
    </w:r>
    <w:r>
      <w:tab/>
    </w:r>
  </w:p>
  <w:p w14:paraId="120C210D">
    <w:pPr>
      <w:pStyle w:val="17"/>
      <w:ind w:right="-40"/>
      <w:jc w:val="center"/>
    </w:pPr>
    <w:r>
      <w:rPr>
        <w:rFonts w:hint="eastAsia"/>
        <w:b/>
      </w:rPr>
      <w:t>版权所有，不得复制</w:t>
    </w:r>
  </w:p>
  <w:p w14:paraId="62A2D0DB">
    <w:pPr>
      <w:pStyle w:val="1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5CAB19">
    <w:pPr>
      <w:pStyle w:val="18"/>
      <w:ind w:right="400"/>
      <w:jc w:val="both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0"/>
      </w:rPr>
      <w:t xml:space="preserve">                                    </w:t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235732">
    <w:pPr>
      <w:pStyle w:val="18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1">
    <w:nsid w:val="5072B1DF"/>
    <w:multiLevelType w:val="multilevel"/>
    <w:tmpl w:val="5072B1DF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">
    <w:nsid w:val="5A03F4BE"/>
    <w:multiLevelType w:val="multilevel"/>
    <w:tmpl w:val="5A03F4BE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30"/>
    <w:rsid w:val="000634B1"/>
    <w:rsid w:val="005E2730"/>
    <w:rsid w:val="006B0CF3"/>
    <w:rsid w:val="00A34A47"/>
    <w:rsid w:val="00A844AD"/>
    <w:rsid w:val="00AB6713"/>
    <w:rsid w:val="00CD6C9A"/>
    <w:rsid w:val="00FB4638"/>
    <w:rsid w:val="01C61097"/>
    <w:rsid w:val="01EA4629"/>
    <w:rsid w:val="03467A7A"/>
    <w:rsid w:val="05FB35B9"/>
    <w:rsid w:val="07230354"/>
    <w:rsid w:val="0A430380"/>
    <w:rsid w:val="0B2F497F"/>
    <w:rsid w:val="0BBF63A0"/>
    <w:rsid w:val="0CFE46F5"/>
    <w:rsid w:val="0D093B48"/>
    <w:rsid w:val="0DF7383C"/>
    <w:rsid w:val="102E0E72"/>
    <w:rsid w:val="117F087D"/>
    <w:rsid w:val="11A04334"/>
    <w:rsid w:val="11DF0A60"/>
    <w:rsid w:val="12614426"/>
    <w:rsid w:val="12A54313"/>
    <w:rsid w:val="12F2507E"/>
    <w:rsid w:val="15773146"/>
    <w:rsid w:val="158063CA"/>
    <w:rsid w:val="15CA5987"/>
    <w:rsid w:val="19670574"/>
    <w:rsid w:val="1BD619E1"/>
    <w:rsid w:val="1C8C02F2"/>
    <w:rsid w:val="1D8E3BF5"/>
    <w:rsid w:val="1DCA10D2"/>
    <w:rsid w:val="1F6B2440"/>
    <w:rsid w:val="20AF2801"/>
    <w:rsid w:val="20DB6517"/>
    <w:rsid w:val="216C6E3A"/>
    <w:rsid w:val="237A06E7"/>
    <w:rsid w:val="25C24D84"/>
    <w:rsid w:val="25EA2F9C"/>
    <w:rsid w:val="27E70AD2"/>
    <w:rsid w:val="282835C4"/>
    <w:rsid w:val="28384575"/>
    <w:rsid w:val="28510EC8"/>
    <w:rsid w:val="288D7D5C"/>
    <w:rsid w:val="28CA642A"/>
    <w:rsid w:val="291E72E0"/>
    <w:rsid w:val="2961371B"/>
    <w:rsid w:val="2D3E1194"/>
    <w:rsid w:val="2E165C6D"/>
    <w:rsid w:val="315947EF"/>
    <w:rsid w:val="328E04C8"/>
    <w:rsid w:val="32DF0D23"/>
    <w:rsid w:val="33D068BE"/>
    <w:rsid w:val="357A2DF7"/>
    <w:rsid w:val="36617CA1"/>
    <w:rsid w:val="366F6862"/>
    <w:rsid w:val="37635B18"/>
    <w:rsid w:val="38575800"/>
    <w:rsid w:val="387C0726"/>
    <w:rsid w:val="39273CE6"/>
    <w:rsid w:val="3A465B2C"/>
    <w:rsid w:val="3C0B4937"/>
    <w:rsid w:val="40330B4E"/>
    <w:rsid w:val="40884D6D"/>
    <w:rsid w:val="41144286"/>
    <w:rsid w:val="42655072"/>
    <w:rsid w:val="44D7723E"/>
    <w:rsid w:val="461C3792"/>
    <w:rsid w:val="46582E6F"/>
    <w:rsid w:val="46EB5A91"/>
    <w:rsid w:val="46F96400"/>
    <w:rsid w:val="482374AD"/>
    <w:rsid w:val="48515DC8"/>
    <w:rsid w:val="4A4259BC"/>
    <w:rsid w:val="4AB97C54"/>
    <w:rsid w:val="4F644633"/>
    <w:rsid w:val="51F06651"/>
    <w:rsid w:val="52AE35F5"/>
    <w:rsid w:val="55067F3A"/>
    <w:rsid w:val="553749E8"/>
    <w:rsid w:val="567E4EEE"/>
    <w:rsid w:val="582E57DE"/>
    <w:rsid w:val="588673C8"/>
    <w:rsid w:val="59EF5D15"/>
    <w:rsid w:val="5A0B50DC"/>
    <w:rsid w:val="5A1267B4"/>
    <w:rsid w:val="5B2A2BD4"/>
    <w:rsid w:val="5B93247B"/>
    <w:rsid w:val="5CCA6534"/>
    <w:rsid w:val="5CF60894"/>
    <w:rsid w:val="5D1C02FB"/>
    <w:rsid w:val="606D5311"/>
    <w:rsid w:val="65FD6839"/>
    <w:rsid w:val="665C5C0C"/>
    <w:rsid w:val="67095EBA"/>
    <w:rsid w:val="680671B0"/>
    <w:rsid w:val="68163A33"/>
    <w:rsid w:val="6B79100E"/>
    <w:rsid w:val="6B881251"/>
    <w:rsid w:val="6D0540F4"/>
    <w:rsid w:val="707443AD"/>
    <w:rsid w:val="73751E5F"/>
    <w:rsid w:val="740510C6"/>
    <w:rsid w:val="756D193E"/>
    <w:rsid w:val="75FF0362"/>
    <w:rsid w:val="76BF021D"/>
    <w:rsid w:val="77541A03"/>
    <w:rsid w:val="785E3A65"/>
    <w:rsid w:val="79E354B7"/>
    <w:rsid w:val="7A1A5D2B"/>
    <w:rsid w:val="7A3E76AA"/>
    <w:rsid w:val="7B456752"/>
    <w:rsid w:val="7EBB3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name="toc 1"/>
    <w:lsdException w:qFormat="1" w:uiPriority="39" w:name="toc 2"/>
    <w:lsdException w:qFormat="1" w:uiPriority="39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qFormat="1" w:uiPriority="0" w:name="Body Text 3"/>
    <w:lsdException w:qFormat="1"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0" w:name="Document Map"/>
    <w:lsdException w:qFormat="1"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30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31"/>
    <w:qFormat/>
    <w:uiPriority w:val="0"/>
    <w:pPr>
      <w:keepNext/>
      <w:keepLines/>
      <w:numPr>
        <w:ilvl w:val="2"/>
        <w:numId w:val="1"/>
      </w:numPr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32"/>
    <w:semiHidden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3"/>
    <w:semiHidden/>
    <w:unhideWhenUsed/>
    <w:qFormat/>
    <w:uiPriority w:val="0"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semiHidden/>
    <w:unhideWhenUsed/>
    <w:qFormat/>
    <w:uiPriority w:val="0"/>
    <w:pPr>
      <w:snapToGrid w:val="0"/>
      <w:spacing w:beforeLines="60"/>
      <w:ind w:firstLine="256" w:firstLineChars="256"/>
      <w:jc w:val="left"/>
    </w:pPr>
    <w:rPr>
      <w:rFonts w:ascii="宋体"/>
      <w:kern w:val="0"/>
      <w:szCs w:val="20"/>
    </w:rPr>
  </w:style>
  <w:style w:type="paragraph" w:styleId="8">
    <w:name w:val="Document Map"/>
    <w:basedOn w:val="1"/>
    <w:link w:val="42"/>
    <w:semiHidden/>
    <w:unhideWhenUsed/>
    <w:qFormat/>
    <w:uiPriority w:val="0"/>
    <w:pPr>
      <w:shd w:val="clear" w:color="auto" w:fill="000080"/>
    </w:pPr>
  </w:style>
  <w:style w:type="paragraph" w:styleId="9">
    <w:name w:val="annotation text"/>
    <w:basedOn w:val="1"/>
    <w:link w:val="34"/>
    <w:semiHidden/>
    <w:unhideWhenUsed/>
    <w:qFormat/>
    <w:uiPriority w:val="0"/>
    <w:pPr>
      <w:jc w:val="left"/>
    </w:pPr>
  </w:style>
  <w:style w:type="paragraph" w:styleId="10">
    <w:name w:val="Body Text 3"/>
    <w:basedOn w:val="1"/>
    <w:link w:val="40"/>
    <w:semiHidden/>
    <w:unhideWhenUsed/>
    <w:qFormat/>
    <w:uiPriority w:val="0"/>
    <w:pPr>
      <w:spacing w:after="120"/>
    </w:pPr>
    <w:rPr>
      <w:sz w:val="16"/>
      <w:szCs w:val="16"/>
    </w:rPr>
  </w:style>
  <w:style w:type="paragraph" w:styleId="11">
    <w:name w:val="Body Text"/>
    <w:basedOn w:val="1"/>
    <w:link w:val="38"/>
    <w:semiHidden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12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3">
    <w:name w:val="Plain Text"/>
    <w:basedOn w:val="1"/>
    <w:link w:val="43"/>
    <w:semiHidden/>
    <w:unhideWhenUsed/>
    <w:qFormat/>
    <w:uiPriority w:val="0"/>
    <w:rPr>
      <w:rFonts w:ascii="宋体" w:hAnsi="Courier New"/>
      <w:sz w:val="24"/>
      <w:szCs w:val="20"/>
    </w:rPr>
  </w:style>
  <w:style w:type="paragraph" w:styleId="14">
    <w:name w:val="Date"/>
    <w:basedOn w:val="1"/>
    <w:next w:val="1"/>
    <w:link w:val="39"/>
    <w:qFormat/>
    <w:uiPriority w:val="0"/>
    <w:pPr>
      <w:ind w:left="100" w:leftChars="2500"/>
    </w:pPr>
  </w:style>
  <w:style w:type="paragraph" w:styleId="15">
    <w:name w:val="Body Text Indent 2"/>
    <w:basedOn w:val="1"/>
    <w:link w:val="41"/>
    <w:semiHidden/>
    <w:unhideWhenUsed/>
    <w:qFormat/>
    <w:uiPriority w:val="0"/>
    <w:pPr>
      <w:spacing w:after="120" w:line="480" w:lineRule="auto"/>
      <w:ind w:left="420" w:leftChars="200"/>
    </w:pPr>
  </w:style>
  <w:style w:type="paragraph" w:styleId="16">
    <w:name w:val="Balloon Text"/>
    <w:basedOn w:val="1"/>
    <w:link w:val="45"/>
    <w:semiHidden/>
    <w:unhideWhenUsed/>
    <w:qFormat/>
    <w:uiPriority w:val="0"/>
    <w:rPr>
      <w:sz w:val="18"/>
      <w:szCs w:val="18"/>
    </w:rPr>
  </w:style>
  <w:style w:type="paragraph" w:styleId="17">
    <w:name w:val="footer"/>
    <w:basedOn w:val="1"/>
    <w:link w:val="36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1"/>
    <w:link w:val="3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toc 1"/>
    <w:basedOn w:val="1"/>
    <w:next w:val="1"/>
    <w:semiHidden/>
    <w:unhideWhenUsed/>
    <w:qFormat/>
    <w:uiPriority w:val="39"/>
  </w:style>
  <w:style w:type="paragraph" w:styleId="20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21">
    <w:name w:val="Title"/>
    <w:basedOn w:val="1"/>
    <w:next w:val="1"/>
    <w:link w:val="37"/>
    <w:qFormat/>
    <w:uiPriority w:val="0"/>
    <w:pPr>
      <w:snapToGrid w:val="0"/>
      <w:jc w:val="center"/>
    </w:pPr>
    <w:rPr>
      <w:rFonts w:ascii="宋体"/>
      <w:b/>
      <w:kern w:val="0"/>
      <w:sz w:val="36"/>
      <w:szCs w:val="20"/>
    </w:rPr>
  </w:style>
  <w:style w:type="paragraph" w:styleId="22">
    <w:name w:val="annotation subject"/>
    <w:basedOn w:val="9"/>
    <w:next w:val="9"/>
    <w:link w:val="44"/>
    <w:semiHidden/>
    <w:unhideWhenUsed/>
    <w:qFormat/>
    <w:uiPriority w:val="0"/>
    <w:rPr>
      <w:b/>
      <w:bCs/>
    </w:rPr>
  </w:style>
  <w:style w:type="table" w:styleId="24">
    <w:name w:val="Table Grid"/>
    <w:basedOn w:val="2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6">
    <w:name w:val="FollowedHyperlink"/>
    <w:basedOn w:val="25"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7">
    <w:name w:val="Hyperlink"/>
    <w:basedOn w:val="25"/>
    <w:semiHidden/>
    <w:unhideWhenUsed/>
    <w:qFormat/>
    <w:uiPriority w:val="99"/>
    <w:rPr>
      <w:color w:val="0000FF"/>
      <w:u w:val="single"/>
    </w:rPr>
  </w:style>
  <w:style w:type="character" w:styleId="28">
    <w:name w:val="annotation reference"/>
    <w:basedOn w:val="25"/>
    <w:semiHidden/>
    <w:unhideWhenUsed/>
    <w:qFormat/>
    <w:uiPriority w:val="0"/>
    <w:rPr>
      <w:sz w:val="21"/>
      <w:szCs w:val="21"/>
    </w:rPr>
  </w:style>
  <w:style w:type="character" w:customStyle="1" w:styleId="29">
    <w:name w:val="标题 1 Char"/>
    <w:basedOn w:val="25"/>
    <w:qFormat/>
    <w:uiPriority w:val="0"/>
    <w:rPr>
      <w:rFonts w:hint="eastAsia" w:ascii="宋体" w:hAnsi="宋体" w:eastAsia="宋体"/>
      <w:b/>
      <w:snapToGrid/>
      <w:sz w:val="28"/>
      <w:lang w:val="en-US" w:eastAsia="zh-CN" w:bidi="ar-SA"/>
    </w:rPr>
  </w:style>
  <w:style w:type="character" w:customStyle="1" w:styleId="30">
    <w:name w:val="标题 2 Char"/>
    <w:link w:val="3"/>
    <w:qFormat/>
    <w:locked/>
    <w:uiPriority w:val="0"/>
    <w:rPr>
      <w:rFonts w:hint="default" w:ascii="Arial" w:hAnsi="Arial" w:eastAsia="黑体" w:cs="Arial"/>
      <w:b/>
      <w:bCs/>
      <w:kern w:val="2"/>
      <w:sz w:val="28"/>
      <w:szCs w:val="32"/>
    </w:rPr>
  </w:style>
  <w:style w:type="character" w:customStyle="1" w:styleId="31">
    <w:name w:val="标题 3 Char"/>
    <w:link w:val="4"/>
    <w:qFormat/>
    <w:locked/>
    <w:uiPriority w:val="0"/>
    <w:rPr>
      <w:b/>
      <w:bCs/>
      <w:kern w:val="2"/>
      <w:sz w:val="21"/>
      <w:szCs w:val="32"/>
    </w:rPr>
  </w:style>
  <w:style w:type="character" w:customStyle="1" w:styleId="32">
    <w:name w:val="标题 4 Char"/>
    <w:basedOn w:val="25"/>
    <w:link w:val="5"/>
    <w:semiHidden/>
    <w:qFormat/>
    <w:locked/>
    <w:uiPriority w:val="0"/>
    <w:rPr>
      <w:rFonts w:hint="default"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3">
    <w:name w:val="标题 5 Char"/>
    <w:basedOn w:val="25"/>
    <w:link w:val="6"/>
    <w:semiHidden/>
    <w:qFormat/>
    <w:locked/>
    <w:uiPriority w:val="0"/>
    <w:rPr>
      <w:b/>
      <w:bCs/>
      <w:kern w:val="2"/>
      <w:sz w:val="28"/>
      <w:szCs w:val="28"/>
    </w:rPr>
  </w:style>
  <w:style w:type="character" w:customStyle="1" w:styleId="34">
    <w:name w:val="批注文字 Char"/>
    <w:basedOn w:val="25"/>
    <w:link w:val="9"/>
    <w:semiHidden/>
    <w:qFormat/>
    <w:locked/>
    <w:uiPriority w:val="0"/>
    <w:rPr>
      <w:kern w:val="2"/>
      <w:sz w:val="21"/>
      <w:szCs w:val="24"/>
    </w:rPr>
  </w:style>
  <w:style w:type="character" w:customStyle="1" w:styleId="35">
    <w:name w:val="页眉 Char"/>
    <w:basedOn w:val="25"/>
    <w:link w:val="18"/>
    <w:qFormat/>
    <w:locked/>
    <w:uiPriority w:val="99"/>
    <w:rPr>
      <w:kern w:val="2"/>
      <w:sz w:val="18"/>
      <w:szCs w:val="18"/>
    </w:rPr>
  </w:style>
  <w:style w:type="character" w:customStyle="1" w:styleId="36">
    <w:name w:val="页脚 Char"/>
    <w:basedOn w:val="25"/>
    <w:link w:val="17"/>
    <w:qFormat/>
    <w:uiPriority w:val="0"/>
    <w:rPr>
      <w:kern w:val="2"/>
      <w:sz w:val="18"/>
      <w:szCs w:val="18"/>
    </w:rPr>
  </w:style>
  <w:style w:type="character" w:customStyle="1" w:styleId="37">
    <w:name w:val="标题 Char"/>
    <w:basedOn w:val="25"/>
    <w:link w:val="21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38">
    <w:name w:val="正文文本 Char"/>
    <w:basedOn w:val="25"/>
    <w:link w:val="11"/>
    <w:semiHidden/>
    <w:qFormat/>
    <w:locked/>
    <w:uiPriority w:val="0"/>
    <w:rPr>
      <w:rFonts w:hint="default" w:ascii="Calibri" w:hAnsi="Calibri" w:cs="Calibri"/>
      <w:b/>
      <w:sz w:val="32"/>
      <w:lang w:eastAsia="en-US"/>
    </w:rPr>
  </w:style>
  <w:style w:type="character" w:customStyle="1" w:styleId="39">
    <w:name w:val="日期 Char"/>
    <w:basedOn w:val="25"/>
    <w:link w:val="14"/>
    <w:qFormat/>
    <w:locked/>
    <w:uiPriority w:val="0"/>
    <w:rPr>
      <w:kern w:val="2"/>
      <w:sz w:val="21"/>
      <w:szCs w:val="24"/>
    </w:rPr>
  </w:style>
  <w:style w:type="character" w:customStyle="1" w:styleId="40">
    <w:name w:val="正文文本 3 Char"/>
    <w:basedOn w:val="25"/>
    <w:link w:val="10"/>
    <w:semiHidden/>
    <w:qFormat/>
    <w:locked/>
    <w:uiPriority w:val="0"/>
    <w:rPr>
      <w:kern w:val="2"/>
      <w:sz w:val="16"/>
      <w:szCs w:val="16"/>
    </w:rPr>
  </w:style>
  <w:style w:type="character" w:customStyle="1" w:styleId="41">
    <w:name w:val="正文文本缩进 2 Char"/>
    <w:basedOn w:val="25"/>
    <w:link w:val="15"/>
    <w:semiHidden/>
    <w:qFormat/>
    <w:locked/>
    <w:uiPriority w:val="0"/>
    <w:rPr>
      <w:kern w:val="2"/>
      <w:sz w:val="21"/>
      <w:szCs w:val="24"/>
    </w:rPr>
  </w:style>
  <w:style w:type="character" w:customStyle="1" w:styleId="42">
    <w:name w:val="文档结构图 Char"/>
    <w:basedOn w:val="25"/>
    <w:link w:val="8"/>
    <w:semiHidden/>
    <w:qFormat/>
    <w:uiPriority w:val="0"/>
    <w:rPr>
      <w:rFonts w:ascii="Microsoft YaHei UI" w:eastAsia="Microsoft YaHei UI"/>
      <w:kern w:val="2"/>
      <w:sz w:val="18"/>
      <w:szCs w:val="18"/>
    </w:rPr>
  </w:style>
  <w:style w:type="character" w:customStyle="1" w:styleId="43">
    <w:name w:val="纯文本 Char"/>
    <w:basedOn w:val="25"/>
    <w:link w:val="13"/>
    <w:semiHidden/>
    <w:qFormat/>
    <w:locked/>
    <w:uiPriority w:val="0"/>
    <w:rPr>
      <w:rFonts w:hint="eastAsia" w:ascii="宋体" w:hAnsi="Courier New" w:eastAsia="宋体"/>
      <w:kern w:val="2"/>
      <w:sz w:val="24"/>
    </w:rPr>
  </w:style>
  <w:style w:type="character" w:customStyle="1" w:styleId="44">
    <w:name w:val="批注主题 Char"/>
    <w:basedOn w:val="34"/>
    <w:link w:val="22"/>
    <w:semiHidden/>
    <w:qFormat/>
    <w:locked/>
    <w:uiPriority w:val="0"/>
    <w:rPr>
      <w:b/>
      <w:bCs/>
      <w:kern w:val="2"/>
      <w:sz w:val="21"/>
      <w:szCs w:val="24"/>
    </w:rPr>
  </w:style>
  <w:style w:type="character" w:customStyle="1" w:styleId="45">
    <w:name w:val="批注框文本 Char"/>
    <w:basedOn w:val="25"/>
    <w:link w:val="16"/>
    <w:semiHidden/>
    <w:qFormat/>
    <w:locked/>
    <w:uiPriority w:val="0"/>
    <w:rPr>
      <w:kern w:val="2"/>
      <w:sz w:val="18"/>
      <w:szCs w:val="18"/>
    </w:rPr>
  </w:style>
  <w:style w:type="paragraph" w:styleId="46">
    <w:name w:val="List Paragraph"/>
    <w:basedOn w:val="1"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  <w:style w:type="paragraph" w:customStyle="1" w:styleId="47">
    <w:name w:val="TOC Heading"/>
    <w:basedOn w:val="2"/>
    <w:next w:val="1"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paragraph" w:customStyle="1" w:styleId="48">
    <w:name w:val="公司名称"/>
    <w:basedOn w:val="1"/>
    <w:qFormat/>
    <w:uiPriority w:val="0"/>
    <w:pPr>
      <w:widowControl/>
      <w:overflowPunct w:val="0"/>
      <w:autoSpaceDE w:val="0"/>
      <w:autoSpaceDN w:val="0"/>
      <w:adjustRightInd w:val="0"/>
      <w:jc w:val="center"/>
    </w:pPr>
    <w:rPr>
      <w:rFonts w:eastAsia="隶书"/>
      <w:b/>
      <w:bCs/>
      <w:kern w:val="0"/>
      <w:sz w:val="44"/>
      <w:szCs w:val="20"/>
    </w:rPr>
  </w:style>
  <w:style w:type="paragraph" w:customStyle="1" w:styleId="49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customStyle="1" w:styleId="50">
    <w:name w:val="xl34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24"/>
    </w:rPr>
  </w:style>
  <w:style w:type="paragraph" w:customStyle="1" w:styleId="51">
    <w:name w:val="xl3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72"/>
      <w:szCs w:val="72"/>
    </w:rPr>
  </w:style>
  <w:style w:type="paragraph" w:customStyle="1" w:styleId="52">
    <w:name w:val="正文1"/>
    <w:basedOn w:val="1"/>
    <w:qFormat/>
    <w:uiPriority w:val="0"/>
    <w:pPr>
      <w:snapToGrid w:val="0"/>
      <w:spacing w:before="120" w:after="120"/>
      <w:ind w:firstLine="420"/>
    </w:pPr>
    <w:rPr>
      <w:rFonts w:cs="Lucida Sans"/>
      <w:szCs w:val="21"/>
    </w:rPr>
  </w:style>
  <w:style w:type="paragraph" w:customStyle="1" w:styleId="53">
    <w:name w:val="样式 正文缩进 + 首行缩进:  2.56 字符 段前: 0.6 行 段后: 0.6 行"/>
    <w:basedOn w:val="7"/>
    <w:qFormat/>
    <w:uiPriority w:val="0"/>
    <w:pPr>
      <w:spacing w:afterLines="60"/>
      <w:ind w:firstLine="538"/>
    </w:pPr>
    <w:rPr>
      <w:rFonts w:cs="宋体"/>
    </w:rPr>
  </w:style>
  <w:style w:type="paragraph" w:customStyle="1" w:styleId="54">
    <w:name w:val="Char Char Char Char Char Char Char Char Char Char Char Char Char Char Char Char"/>
    <w:basedOn w:val="1"/>
    <w:qFormat/>
    <w:uiPriority w:val="0"/>
    <w:pPr>
      <w:tabs>
        <w:tab w:val="left" w:pos="360"/>
      </w:tabs>
      <w:spacing w:line="360" w:lineRule="auto"/>
      <w:ind w:firstLine="480" w:firstLineChars="200"/>
    </w:pPr>
    <w:rPr>
      <w:rFonts w:ascii="宋体" w:hAnsi="宋体"/>
      <w:kern w:val="0"/>
      <w:sz w:val="24"/>
    </w:rPr>
  </w:style>
  <w:style w:type="character" w:customStyle="1" w:styleId="55">
    <w:name w:val="模板内容"/>
    <w:qFormat/>
    <w:uiPriority w:val="0"/>
    <w:rPr>
      <w:color w:val="0000FF"/>
    </w:rPr>
  </w:style>
  <w:style w:type="table" w:customStyle="1" w:styleId="56">
    <w:name w:val="自定义01"/>
    <w:basedOn w:val="23"/>
    <w:qFormat/>
    <w:uiPriority w:val="99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vAlign w:val="center"/>
    </w:tcPr>
    <w:tblStylePr w:type="band1Horz">
      <w:tcPr>
        <w:shd w:val="clear" w:color="auto" w:fill="EEECE1" w:themeFill="background2"/>
      </w:tcPr>
    </w:tblStyle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1792</Words>
  <Characters>1920</Characters>
  <Lines>52</Lines>
  <Paragraphs>14</Paragraphs>
  <TotalTime>0</TotalTime>
  <ScaleCrop>false</ScaleCrop>
  <LinksUpToDate>false</LinksUpToDate>
  <CharactersWithSpaces>1971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2018-06-20T06:04:00Z</dcterms:created>
  <dc:creator>8000115456</dc:creator>
  <cp:lastModifiedBy>萌萌的太阳</cp:lastModifiedBy>
  <dcterms:modified xsi:type="dcterms:W3CDTF">2025-08-14T07:08:00Z</dcterms:modified>
  <dc:title>需求说明书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文档状态">
    <vt:lpwstr>修订最新版本时间</vt:lpwstr>
  </property>
  <property fmtid="{D5CDD505-2E9C-101B-9397-08002B2CF9AE}" pid="3" name="发布日期">
    <vt:lpwstr/>
  </property>
  <property fmtid="{D5CDD505-2E9C-101B-9397-08002B2CF9AE}" pid="4" name="目录说明">
    <vt:lpwstr/>
  </property>
  <property fmtid="{D5CDD505-2E9C-101B-9397-08002B2CF9AE}" pid="5" name="KSOProductBuildVer">
    <vt:lpwstr>2052-12.1.0.21915</vt:lpwstr>
  </property>
  <property fmtid="{D5CDD505-2E9C-101B-9397-08002B2CF9AE}" pid="6" name="ICV">
    <vt:lpwstr>B93915B4FA5E4124BF2DBE9F0EF8A0A6_13</vt:lpwstr>
  </property>
  <property fmtid="{D5CDD505-2E9C-101B-9397-08002B2CF9AE}" pid="7" name="KSOTemplateDocerSaveRecord">
    <vt:lpwstr>eyJoZGlkIjoiZThlZTFlNTlhZjJmZmRmMDc5MjUxZmJmOTA4OTc4ZDUiLCJ1c2VySWQiOiI2MzQzMjg0MjQifQ==</vt:lpwstr>
  </property>
</Properties>
</file>