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26EE78">
      <w:pPr>
        <w:pStyle w:val="50"/>
        <w:keepLines w:val="0"/>
        <w:widowControl w:val="0"/>
        <w:ind w:left="0"/>
        <w:rPr>
          <w:rFonts w:ascii="黑体" w:eastAsia="黑体"/>
          <w:caps/>
          <w:szCs w:val="44"/>
        </w:rPr>
      </w:pPr>
    </w:p>
    <w:p w14:paraId="1B67ED40">
      <w:pPr>
        <w:pStyle w:val="50"/>
        <w:keepLines w:val="0"/>
        <w:widowControl w:val="0"/>
        <w:ind w:left="0"/>
        <w:rPr>
          <w:rFonts w:ascii="黑体" w:eastAsia="黑体"/>
          <w:caps/>
          <w:szCs w:val="44"/>
        </w:rPr>
      </w:pPr>
    </w:p>
    <w:p w14:paraId="138D7B85">
      <w:pPr>
        <w:pStyle w:val="50"/>
        <w:ind w:left="420"/>
        <w:jc w:val="center"/>
        <w:rPr>
          <w:rFonts w:ascii="Arial" w:hAnsi="Arial"/>
          <w:caps/>
          <w:sz w:val="21"/>
          <w:szCs w:val="21"/>
          <w:lang w:val="en-US"/>
        </w:rPr>
      </w:pPr>
      <w:r>
        <w:rPr>
          <w:rFonts w:hint="eastAsia" w:ascii="黑体" w:eastAsia="黑体"/>
          <w:caps/>
          <w:szCs w:val="44"/>
        </w:rPr>
        <w:tab/>
      </w:r>
      <w:r>
        <w:rPr>
          <w:rFonts w:hint="eastAsia" w:ascii="Arial" w:hAnsi="Arial" w:eastAsia="黑体"/>
          <w:caps/>
        </w:rPr>
        <w:t>需求说明书</w:t>
      </w:r>
      <w:r>
        <w:rPr>
          <w:rFonts w:ascii="Arial" w:hAnsi="Arial"/>
          <w:b w:val="0"/>
          <w:bCs w:val="0"/>
          <w:caps/>
          <w:sz w:val="21"/>
          <w:lang w:val="en-US"/>
        </w:rPr>
        <w:fldChar w:fldCharType="begin"/>
      </w:r>
      <w:r>
        <w:rPr>
          <w:rFonts w:ascii="Arial" w:hAnsi="Arial"/>
          <w:b w:val="0"/>
          <w:bCs w:val="0"/>
          <w:caps/>
          <w:sz w:val="21"/>
          <w:lang w:val="en-US"/>
        </w:rPr>
        <w:instrText xml:space="preserve"> TITLE  \* MERGEFORMAT </w:instrText>
      </w:r>
      <w:r>
        <w:rPr>
          <w:rFonts w:ascii="Arial" w:hAnsi="Arial"/>
          <w:b w:val="0"/>
          <w:bCs w:val="0"/>
          <w:caps/>
          <w:sz w:val="21"/>
          <w:lang w:val="en-US"/>
        </w:rPr>
        <w:fldChar w:fldCharType="end"/>
      </w:r>
    </w:p>
    <w:p w14:paraId="140FA553"/>
    <w:p w14:paraId="058D5191"/>
    <w:p w14:paraId="0CB9BD52">
      <w:pPr>
        <w:pStyle w:val="2"/>
        <w:numPr>
          <w:ilvl w:val="0"/>
          <w:numId w:val="0"/>
        </w:numPr>
        <w:tabs>
          <w:tab w:val="left" w:pos="420"/>
        </w:tabs>
        <w:rPr>
          <w:rFonts w:eastAsia="宋体"/>
        </w:rPr>
      </w:pPr>
      <w:bookmarkStart w:id="0" w:name="_Toc312161398"/>
      <w:bookmarkStart w:id="1" w:name="_Toc208994575"/>
    </w:p>
    <w:p w14:paraId="76EE032C">
      <w:pPr>
        <w:widowControl/>
        <w:jc w:val="left"/>
        <w:rPr>
          <w:rFonts w:hint="eastAsia"/>
        </w:rPr>
      </w:pPr>
    </w:p>
    <w:p w14:paraId="278CE1D3">
      <w:pPr>
        <w:widowControl/>
        <w:jc w:val="left"/>
        <w:rPr>
          <w:rFonts w:hint="eastAsia"/>
        </w:rPr>
      </w:pPr>
    </w:p>
    <w:p w14:paraId="0F888904">
      <w:pPr>
        <w:widowControl/>
        <w:jc w:val="left"/>
      </w:pPr>
    </w:p>
    <w:p w14:paraId="008E362B"/>
    <w:p w14:paraId="2A9B12F8">
      <w:pPr>
        <w:pStyle w:val="11"/>
      </w:pPr>
      <w:r>
        <w:rPr>
          <w:rFonts w:hint="eastAsia"/>
        </w:rPr>
        <w:t>修订历史</w:t>
      </w:r>
      <w:r>
        <w:t xml:space="preserve">  </w:t>
      </w:r>
    </w:p>
    <w:tbl>
      <w:tblPr>
        <w:tblStyle w:val="24"/>
        <w:tblW w:w="8522"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971"/>
        <w:gridCol w:w="1550"/>
        <w:gridCol w:w="1008"/>
        <w:gridCol w:w="4993"/>
      </w:tblGrid>
      <w:tr w14:paraId="7705880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tblHeader/>
          <w:jc w:val="center"/>
        </w:trPr>
        <w:tc>
          <w:tcPr>
            <w:tcW w:w="971" w:type="dxa"/>
            <w:tcBorders>
              <w:top w:val="single" w:color="auto" w:sz="12" w:space="0"/>
              <w:left w:val="single" w:color="auto" w:sz="12" w:space="0"/>
              <w:bottom w:val="single" w:color="auto" w:sz="6" w:space="0"/>
              <w:right w:val="single" w:color="auto" w:sz="6" w:space="0"/>
            </w:tcBorders>
            <w:shd w:val="pct10" w:color="auto" w:fill="auto"/>
          </w:tcPr>
          <w:p w14:paraId="0B7A119E">
            <w:pPr>
              <w:jc w:val="center"/>
              <w:rPr>
                <w:rFonts w:cs="Arial"/>
                <w:b/>
                <w:bCs/>
                <w:i/>
                <w:sz w:val="20"/>
              </w:rPr>
            </w:pPr>
            <w:r>
              <w:rPr>
                <w:rFonts w:hint="eastAsia" w:cs="Arial"/>
                <w:b/>
                <w:bCs/>
                <w:i/>
                <w:sz w:val="20"/>
              </w:rPr>
              <w:t>版本号</w:t>
            </w:r>
          </w:p>
        </w:tc>
        <w:tc>
          <w:tcPr>
            <w:tcW w:w="1550" w:type="dxa"/>
            <w:tcBorders>
              <w:top w:val="single" w:color="auto" w:sz="12" w:space="0"/>
              <w:left w:val="single" w:color="auto" w:sz="6" w:space="0"/>
              <w:bottom w:val="single" w:color="auto" w:sz="6" w:space="0"/>
              <w:right w:val="single" w:color="auto" w:sz="6" w:space="0"/>
            </w:tcBorders>
            <w:shd w:val="pct10" w:color="auto" w:fill="auto"/>
          </w:tcPr>
          <w:p w14:paraId="3151AFD9">
            <w:pPr>
              <w:jc w:val="center"/>
              <w:rPr>
                <w:rFonts w:cs="Arial"/>
                <w:b/>
                <w:bCs/>
                <w:i/>
                <w:sz w:val="20"/>
              </w:rPr>
            </w:pPr>
            <w:r>
              <w:rPr>
                <w:rFonts w:hint="eastAsia" w:cs="Arial"/>
                <w:b/>
                <w:bCs/>
                <w:i/>
                <w:sz w:val="20"/>
              </w:rPr>
              <w:t>修订日期</w:t>
            </w:r>
          </w:p>
        </w:tc>
        <w:tc>
          <w:tcPr>
            <w:tcW w:w="1008" w:type="dxa"/>
            <w:tcBorders>
              <w:top w:val="single" w:color="auto" w:sz="12" w:space="0"/>
              <w:left w:val="single" w:color="auto" w:sz="6" w:space="0"/>
              <w:bottom w:val="single" w:color="auto" w:sz="6" w:space="0"/>
              <w:right w:val="single" w:color="auto" w:sz="6" w:space="0"/>
            </w:tcBorders>
            <w:shd w:val="pct10" w:color="auto" w:fill="auto"/>
          </w:tcPr>
          <w:p w14:paraId="0839C332">
            <w:pPr>
              <w:jc w:val="center"/>
              <w:rPr>
                <w:rFonts w:cs="Arial"/>
                <w:b/>
                <w:bCs/>
                <w:i/>
                <w:sz w:val="20"/>
              </w:rPr>
            </w:pPr>
            <w:r>
              <w:rPr>
                <w:rFonts w:hint="eastAsia" w:cs="Arial"/>
                <w:b/>
                <w:bCs/>
                <w:i/>
                <w:sz w:val="20"/>
              </w:rPr>
              <w:t>修订人</w:t>
            </w:r>
          </w:p>
        </w:tc>
        <w:tc>
          <w:tcPr>
            <w:tcW w:w="4993" w:type="dxa"/>
            <w:tcBorders>
              <w:top w:val="single" w:color="auto" w:sz="12" w:space="0"/>
              <w:left w:val="single" w:color="auto" w:sz="6" w:space="0"/>
              <w:bottom w:val="single" w:color="auto" w:sz="6" w:space="0"/>
              <w:right w:val="single" w:color="auto" w:sz="12" w:space="0"/>
            </w:tcBorders>
            <w:shd w:val="pct10" w:color="auto" w:fill="auto"/>
          </w:tcPr>
          <w:p w14:paraId="0A6C5573">
            <w:pPr>
              <w:jc w:val="center"/>
              <w:rPr>
                <w:rFonts w:cs="Arial"/>
                <w:b/>
                <w:bCs/>
                <w:i/>
                <w:sz w:val="20"/>
              </w:rPr>
            </w:pPr>
            <w:r>
              <w:rPr>
                <w:rFonts w:hint="eastAsia" w:cs="Arial"/>
                <w:b/>
                <w:bCs/>
                <w:i/>
                <w:sz w:val="20"/>
              </w:rPr>
              <w:t>修订详情</w:t>
            </w:r>
          </w:p>
        </w:tc>
      </w:tr>
      <w:tr w14:paraId="0B5E861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971" w:type="dxa"/>
            <w:tcBorders>
              <w:top w:val="single" w:color="auto" w:sz="6" w:space="0"/>
              <w:left w:val="single" w:color="auto" w:sz="12" w:space="0"/>
              <w:bottom w:val="single" w:color="auto" w:sz="6" w:space="0"/>
              <w:right w:val="single" w:color="auto" w:sz="6" w:space="0"/>
            </w:tcBorders>
            <w:vAlign w:val="center"/>
          </w:tcPr>
          <w:p w14:paraId="325C00E4">
            <w:pPr>
              <w:jc w:val="center"/>
              <w:rPr>
                <w:sz w:val="20"/>
              </w:rPr>
            </w:pPr>
            <w:r>
              <w:rPr>
                <w:sz w:val="20"/>
              </w:rPr>
              <w:t>V1.0</w:t>
            </w:r>
          </w:p>
        </w:tc>
        <w:tc>
          <w:tcPr>
            <w:tcW w:w="1550" w:type="dxa"/>
            <w:tcBorders>
              <w:top w:val="single" w:color="auto" w:sz="6" w:space="0"/>
              <w:left w:val="single" w:color="auto" w:sz="6" w:space="0"/>
              <w:bottom w:val="single" w:color="auto" w:sz="6" w:space="0"/>
              <w:right w:val="single" w:color="auto" w:sz="6" w:space="0"/>
            </w:tcBorders>
            <w:vAlign w:val="center"/>
          </w:tcPr>
          <w:p w14:paraId="122C9A0B">
            <w:pPr>
              <w:jc w:val="center"/>
              <w:rPr>
                <w:rFonts w:hint="default" w:eastAsia="宋体"/>
                <w:sz w:val="20"/>
                <w:lang w:val="en-US" w:eastAsia="zh-CN"/>
              </w:rPr>
            </w:pPr>
            <w:r>
              <w:rPr>
                <w:rFonts w:hint="eastAsia"/>
                <w:sz w:val="20"/>
                <w:lang w:val="en-US" w:eastAsia="zh-CN"/>
              </w:rPr>
              <w:t>2025-7-7</w:t>
            </w:r>
          </w:p>
        </w:tc>
        <w:tc>
          <w:tcPr>
            <w:tcW w:w="1008" w:type="dxa"/>
            <w:tcBorders>
              <w:top w:val="single" w:color="auto" w:sz="6" w:space="0"/>
              <w:left w:val="single" w:color="auto" w:sz="6" w:space="0"/>
              <w:bottom w:val="single" w:color="auto" w:sz="6" w:space="0"/>
              <w:right w:val="single" w:color="auto" w:sz="6" w:space="0"/>
            </w:tcBorders>
            <w:vAlign w:val="center"/>
          </w:tcPr>
          <w:p w14:paraId="2090B3C0">
            <w:pPr>
              <w:jc w:val="center"/>
              <w:rPr>
                <w:rFonts w:hint="eastAsia" w:eastAsia="宋体"/>
                <w:sz w:val="20"/>
                <w:lang w:val="en-US" w:eastAsia="zh-CN"/>
              </w:rPr>
            </w:pPr>
            <w:r>
              <w:rPr>
                <w:rFonts w:hint="eastAsia" w:ascii="微软雅黑" w:hAnsi="微软雅黑" w:eastAsia="微软雅黑"/>
                <w:sz w:val="20"/>
                <w:lang w:val="en-US" w:eastAsia="zh-CN"/>
              </w:rPr>
              <w:t>柳鸣晓</w:t>
            </w:r>
          </w:p>
        </w:tc>
        <w:tc>
          <w:tcPr>
            <w:tcW w:w="4993" w:type="dxa"/>
            <w:tcBorders>
              <w:top w:val="single" w:color="auto" w:sz="6" w:space="0"/>
              <w:left w:val="single" w:color="auto" w:sz="6" w:space="0"/>
              <w:bottom w:val="single" w:color="auto" w:sz="6" w:space="0"/>
              <w:right w:val="single" w:color="auto" w:sz="12" w:space="0"/>
            </w:tcBorders>
            <w:vAlign w:val="center"/>
          </w:tcPr>
          <w:p w14:paraId="3F889190">
            <w:pPr>
              <w:pStyle w:val="11"/>
              <w:spacing w:line="240" w:lineRule="atLeast"/>
              <w:jc w:val="center"/>
              <w:rPr>
                <w:b w:val="0"/>
                <w:sz w:val="20"/>
                <w:lang w:eastAsia="zh-CN"/>
              </w:rPr>
            </w:pPr>
            <w:r>
              <w:rPr>
                <w:rFonts w:hint="eastAsia"/>
                <w:b w:val="0"/>
                <w:sz w:val="20"/>
                <w:lang w:eastAsia="zh-CN"/>
              </w:rPr>
              <w:t>撰写初稿</w:t>
            </w:r>
          </w:p>
        </w:tc>
      </w:tr>
      <w:tr w14:paraId="21B43D0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971" w:type="dxa"/>
            <w:tcBorders>
              <w:top w:val="single" w:color="auto" w:sz="6" w:space="0"/>
              <w:left w:val="single" w:color="auto" w:sz="12" w:space="0"/>
              <w:bottom w:val="single" w:color="auto" w:sz="6" w:space="0"/>
              <w:right w:val="single" w:color="auto" w:sz="6" w:space="0"/>
            </w:tcBorders>
            <w:vAlign w:val="center"/>
          </w:tcPr>
          <w:p w14:paraId="42B9FEE1">
            <w:pPr>
              <w:jc w:val="center"/>
              <w:rPr>
                <w:rFonts w:hint="default" w:eastAsia="宋体"/>
                <w:sz w:val="20"/>
                <w:lang w:val="en-US" w:eastAsia="zh-CN"/>
              </w:rPr>
            </w:pPr>
            <w:r>
              <w:rPr>
                <w:rFonts w:hint="eastAsia"/>
                <w:sz w:val="20"/>
                <w:lang w:val="en-US" w:eastAsia="zh-CN"/>
              </w:rPr>
              <w:t>V1.1</w:t>
            </w:r>
          </w:p>
        </w:tc>
        <w:tc>
          <w:tcPr>
            <w:tcW w:w="1550" w:type="dxa"/>
            <w:tcBorders>
              <w:top w:val="single" w:color="auto" w:sz="6" w:space="0"/>
              <w:left w:val="single" w:color="auto" w:sz="6" w:space="0"/>
              <w:bottom w:val="single" w:color="auto" w:sz="6" w:space="0"/>
              <w:right w:val="single" w:color="auto" w:sz="6" w:space="0"/>
            </w:tcBorders>
            <w:vAlign w:val="center"/>
          </w:tcPr>
          <w:p w14:paraId="5BF64974">
            <w:pPr>
              <w:jc w:val="center"/>
              <w:rPr>
                <w:rFonts w:hint="default"/>
                <w:sz w:val="20"/>
                <w:lang w:val="en-US"/>
              </w:rPr>
            </w:pPr>
            <w:r>
              <w:rPr>
                <w:rFonts w:hint="eastAsia"/>
                <w:sz w:val="20"/>
                <w:lang w:val="en-US" w:eastAsia="zh-CN"/>
              </w:rPr>
              <w:t>2025-7-18</w:t>
            </w:r>
          </w:p>
        </w:tc>
        <w:tc>
          <w:tcPr>
            <w:tcW w:w="1008" w:type="dxa"/>
            <w:tcBorders>
              <w:top w:val="single" w:color="auto" w:sz="6" w:space="0"/>
              <w:left w:val="single" w:color="auto" w:sz="6" w:space="0"/>
              <w:bottom w:val="single" w:color="auto" w:sz="6" w:space="0"/>
              <w:right w:val="single" w:color="auto" w:sz="6" w:space="0"/>
            </w:tcBorders>
            <w:vAlign w:val="center"/>
          </w:tcPr>
          <w:p w14:paraId="2C3E984C">
            <w:pPr>
              <w:jc w:val="center"/>
              <w:rPr>
                <w:rFonts w:hint="eastAsia" w:eastAsia="宋体"/>
                <w:sz w:val="20"/>
                <w:lang w:val="en-US" w:eastAsia="zh-CN"/>
              </w:rPr>
            </w:pPr>
            <w:r>
              <w:rPr>
                <w:rFonts w:hint="eastAsia"/>
                <w:sz w:val="20"/>
                <w:lang w:val="en-US" w:eastAsia="zh-CN"/>
              </w:rPr>
              <w:t>高一鑫</w:t>
            </w:r>
          </w:p>
        </w:tc>
        <w:tc>
          <w:tcPr>
            <w:tcW w:w="4993" w:type="dxa"/>
            <w:tcBorders>
              <w:top w:val="single" w:color="auto" w:sz="6" w:space="0"/>
              <w:left w:val="single" w:color="auto" w:sz="6" w:space="0"/>
              <w:bottom w:val="single" w:color="auto" w:sz="6" w:space="0"/>
              <w:right w:val="single" w:color="auto" w:sz="12" w:space="0"/>
            </w:tcBorders>
            <w:vAlign w:val="center"/>
          </w:tcPr>
          <w:p w14:paraId="0A8ADCD7">
            <w:pPr>
              <w:pStyle w:val="11"/>
              <w:spacing w:line="240" w:lineRule="atLeast"/>
              <w:jc w:val="center"/>
              <w:rPr>
                <w:rFonts w:hint="default"/>
                <w:b w:val="0"/>
                <w:sz w:val="20"/>
                <w:lang w:val="en-US" w:eastAsia="zh-CN"/>
              </w:rPr>
            </w:pPr>
            <w:r>
              <w:rPr>
                <w:rFonts w:hint="eastAsia"/>
                <w:b w:val="0"/>
                <w:sz w:val="20"/>
                <w:lang w:val="en-US" w:eastAsia="zh-CN"/>
              </w:rPr>
              <w:t>补充细节内容</w:t>
            </w:r>
          </w:p>
        </w:tc>
      </w:tr>
      <w:tr w14:paraId="455DCFE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971" w:type="dxa"/>
            <w:tcBorders>
              <w:top w:val="single" w:color="auto" w:sz="6" w:space="0"/>
              <w:left w:val="single" w:color="auto" w:sz="12" w:space="0"/>
              <w:bottom w:val="single" w:color="auto" w:sz="6" w:space="0"/>
              <w:right w:val="single" w:color="auto" w:sz="6" w:space="0"/>
            </w:tcBorders>
            <w:shd w:val="clear" w:color="auto" w:fill="auto"/>
            <w:vAlign w:val="center"/>
          </w:tcPr>
          <w:p w14:paraId="3C98A1F3">
            <w:pPr>
              <w:jc w:val="center"/>
              <w:rPr>
                <w:rFonts w:hint="default" w:ascii="Times New Roman" w:hAnsi="Times New Roman" w:eastAsia="宋体" w:cs="Times New Roman"/>
                <w:kern w:val="2"/>
                <w:sz w:val="20"/>
                <w:szCs w:val="24"/>
                <w:lang w:val="en-US" w:eastAsia="zh-CN" w:bidi="ar-SA"/>
              </w:rPr>
            </w:pPr>
            <w:r>
              <w:rPr>
                <w:rFonts w:hint="eastAsia"/>
                <w:sz w:val="20"/>
                <w:lang w:val="en-US" w:eastAsia="zh-CN"/>
              </w:rPr>
              <w:t>V1.2</w:t>
            </w:r>
          </w:p>
        </w:tc>
        <w:tc>
          <w:tcPr>
            <w:tcW w:w="1550" w:type="dxa"/>
            <w:tcBorders>
              <w:top w:val="single" w:color="auto" w:sz="6" w:space="0"/>
              <w:left w:val="single" w:color="auto" w:sz="6" w:space="0"/>
              <w:bottom w:val="single" w:color="auto" w:sz="6" w:space="0"/>
              <w:right w:val="single" w:color="auto" w:sz="6" w:space="0"/>
            </w:tcBorders>
            <w:shd w:val="clear" w:color="auto" w:fill="auto"/>
            <w:vAlign w:val="center"/>
          </w:tcPr>
          <w:p w14:paraId="6A5DB30C">
            <w:pPr>
              <w:jc w:val="center"/>
              <w:rPr>
                <w:rFonts w:hint="default" w:ascii="Times New Roman" w:hAnsi="Times New Roman" w:eastAsia="宋体" w:cs="Times New Roman"/>
                <w:kern w:val="2"/>
                <w:sz w:val="20"/>
                <w:szCs w:val="24"/>
                <w:lang w:val="en-US" w:eastAsia="zh-CN" w:bidi="ar-SA"/>
              </w:rPr>
            </w:pPr>
            <w:r>
              <w:rPr>
                <w:rFonts w:hint="eastAsia"/>
                <w:sz w:val="20"/>
                <w:lang w:val="en-US" w:eastAsia="zh-CN"/>
              </w:rPr>
              <w:t>2025-7-21</w:t>
            </w:r>
          </w:p>
        </w:tc>
        <w:tc>
          <w:tcPr>
            <w:tcW w:w="1008" w:type="dxa"/>
            <w:tcBorders>
              <w:top w:val="single" w:color="auto" w:sz="6" w:space="0"/>
              <w:left w:val="single" w:color="auto" w:sz="6" w:space="0"/>
              <w:bottom w:val="single" w:color="auto" w:sz="6" w:space="0"/>
              <w:right w:val="single" w:color="auto" w:sz="6" w:space="0"/>
            </w:tcBorders>
            <w:shd w:val="clear" w:color="auto" w:fill="auto"/>
            <w:vAlign w:val="center"/>
          </w:tcPr>
          <w:p w14:paraId="3EE6C018">
            <w:pPr>
              <w:jc w:val="center"/>
              <w:rPr>
                <w:rFonts w:hint="eastAsia" w:ascii="Times New Roman" w:hAnsi="Times New Roman" w:eastAsia="宋体" w:cs="Times New Roman"/>
                <w:kern w:val="2"/>
                <w:sz w:val="20"/>
                <w:szCs w:val="24"/>
                <w:lang w:val="en-US" w:eastAsia="zh-CN" w:bidi="ar-SA"/>
              </w:rPr>
            </w:pPr>
            <w:r>
              <w:rPr>
                <w:rFonts w:hint="eastAsia"/>
                <w:sz w:val="20"/>
                <w:lang w:val="en-US" w:eastAsia="zh-CN"/>
              </w:rPr>
              <w:t>高一鑫</w:t>
            </w:r>
          </w:p>
        </w:tc>
        <w:tc>
          <w:tcPr>
            <w:tcW w:w="4993" w:type="dxa"/>
            <w:tcBorders>
              <w:top w:val="single" w:color="auto" w:sz="6" w:space="0"/>
              <w:left w:val="single" w:color="auto" w:sz="6" w:space="0"/>
              <w:bottom w:val="single" w:color="auto" w:sz="6" w:space="0"/>
              <w:right w:val="single" w:color="auto" w:sz="12" w:space="0"/>
            </w:tcBorders>
            <w:shd w:val="clear" w:color="auto" w:fill="auto"/>
            <w:vAlign w:val="center"/>
          </w:tcPr>
          <w:p w14:paraId="7FF39572">
            <w:pPr>
              <w:pStyle w:val="11"/>
              <w:spacing w:line="240" w:lineRule="atLeast"/>
              <w:jc w:val="center"/>
              <w:rPr>
                <w:rFonts w:hint="default" w:ascii="Calibri" w:hAnsi="Calibri" w:eastAsia="宋体" w:cs="Times New Roman"/>
                <w:b w:val="0"/>
                <w:kern w:val="0"/>
                <w:sz w:val="20"/>
                <w:szCs w:val="20"/>
                <w:lang w:val="en-US" w:eastAsia="zh-CN" w:bidi="ar-SA"/>
              </w:rPr>
            </w:pPr>
            <w:r>
              <w:rPr>
                <w:rFonts w:hint="eastAsia"/>
                <w:b w:val="0"/>
                <w:sz w:val="20"/>
                <w:lang w:val="en-US" w:eastAsia="zh-CN"/>
              </w:rPr>
              <w:t>补充红字细节内容</w:t>
            </w:r>
          </w:p>
        </w:tc>
      </w:tr>
    </w:tbl>
    <w:p w14:paraId="22CE67F8"/>
    <w:p w14:paraId="1F05BC07"/>
    <w:p w14:paraId="70D3F710"/>
    <w:p w14:paraId="48F0F4C4"/>
    <w:p w14:paraId="4D3FAAB4"/>
    <w:p w14:paraId="354908C9"/>
    <w:p w14:paraId="0C5A3312"/>
    <w:p w14:paraId="57A2434F"/>
    <w:p w14:paraId="72814850"/>
    <w:p w14:paraId="1A358C52"/>
    <w:p w14:paraId="14042DBE">
      <w:pPr>
        <w:widowControl/>
        <w:jc w:val="left"/>
      </w:pPr>
      <w:r>
        <w:br w:type="page"/>
      </w:r>
    </w:p>
    <w:p w14:paraId="751A3557"/>
    <w:bookmarkEnd w:id="0"/>
    <w:bookmarkEnd w:id="1"/>
    <w:p w14:paraId="0A000C81">
      <w:pPr>
        <w:jc w:val="center"/>
        <w:rPr>
          <w:b/>
          <w:sz w:val="30"/>
          <w:szCs w:val="30"/>
        </w:rPr>
      </w:pPr>
      <w:r>
        <w:rPr>
          <w:rFonts w:hint="eastAsia"/>
          <w:b/>
          <w:sz w:val="30"/>
          <w:szCs w:val="30"/>
        </w:rPr>
        <w:t>目录</w:t>
      </w:r>
    </w:p>
    <w:p w14:paraId="4129349A">
      <w:pPr>
        <w:jc w:val="center"/>
        <w:rPr>
          <w:b/>
          <w:sz w:val="30"/>
          <w:szCs w:val="30"/>
        </w:rPr>
      </w:pPr>
    </w:p>
    <w:p w14:paraId="0E26839D">
      <w:pPr>
        <w:pStyle w:val="19"/>
        <w:tabs>
          <w:tab w:val="right" w:leader="dot" w:pos="8306"/>
        </w:tabs>
      </w:pPr>
      <w:r>
        <w:fldChar w:fldCharType="begin"/>
      </w:r>
      <w:r>
        <w:instrText xml:space="preserve"> TOC \o "1-3" \h \z \u </w:instrText>
      </w:r>
      <w:r>
        <w:fldChar w:fldCharType="separate"/>
      </w:r>
      <w:r>
        <w:fldChar w:fldCharType="begin"/>
      </w:r>
      <w:r>
        <w:instrText xml:space="preserve"> HYPERLINK \l _Toc8831 </w:instrText>
      </w:r>
      <w:r>
        <w:fldChar w:fldCharType="separate"/>
      </w:r>
      <w:r>
        <w:rPr>
          <w:rFonts w:hint="default" w:ascii="Arial" w:hAnsi="Arial" w:eastAsia="黑体" w:cs="Arial"/>
        </w:rPr>
        <w:t xml:space="preserve">1. </w:t>
      </w:r>
      <w:r>
        <w:rPr>
          <w:rFonts w:hint="eastAsia" w:ascii="黑体" w:hAnsi="黑体" w:eastAsia="黑体"/>
        </w:rPr>
        <w:t>用户</w:t>
      </w:r>
      <w:r>
        <w:tab/>
      </w:r>
      <w:r>
        <w:fldChar w:fldCharType="begin"/>
      </w:r>
      <w:r>
        <w:instrText xml:space="preserve"> PAGEREF _Toc8831 \h </w:instrText>
      </w:r>
      <w:r>
        <w:fldChar w:fldCharType="separate"/>
      </w:r>
      <w:r>
        <w:t>3</w:t>
      </w:r>
      <w:r>
        <w:fldChar w:fldCharType="end"/>
      </w:r>
      <w:r>
        <w:fldChar w:fldCharType="end"/>
      </w:r>
    </w:p>
    <w:p w14:paraId="30AF6875">
      <w:pPr>
        <w:pStyle w:val="19"/>
        <w:tabs>
          <w:tab w:val="right" w:leader="dot" w:pos="8306"/>
        </w:tabs>
      </w:pPr>
      <w:r>
        <w:rPr>
          <w:bCs/>
          <w:lang w:val="zh-CN"/>
        </w:rPr>
        <w:fldChar w:fldCharType="begin"/>
      </w:r>
      <w:r>
        <w:rPr>
          <w:bCs/>
          <w:lang w:val="zh-CN"/>
        </w:rPr>
        <w:instrText xml:space="preserve"> HYPERLINK \l _Toc30810 </w:instrText>
      </w:r>
      <w:r>
        <w:rPr>
          <w:bCs/>
          <w:lang w:val="zh-CN"/>
        </w:rPr>
        <w:fldChar w:fldCharType="separate"/>
      </w:r>
      <w:r>
        <w:rPr>
          <w:rFonts w:hint="default" w:ascii="Arial" w:hAnsi="Arial" w:eastAsia="黑体" w:cs="Arial"/>
        </w:rPr>
        <w:t xml:space="preserve">2. </w:t>
      </w:r>
      <w:r>
        <w:rPr>
          <w:rFonts w:hint="eastAsia" w:ascii="黑体" w:hAnsi="黑体" w:eastAsia="黑体"/>
        </w:rPr>
        <w:t>需求描述</w:t>
      </w:r>
      <w:r>
        <w:tab/>
      </w:r>
      <w:r>
        <w:fldChar w:fldCharType="begin"/>
      </w:r>
      <w:r>
        <w:instrText xml:space="preserve"> PAGEREF _Toc30810 \h </w:instrText>
      </w:r>
      <w:r>
        <w:fldChar w:fldCharType="separate"/>
      </w:r>
      <w:r>
        <w:t>3</w:t>
      </w:r>
      <w:r>
        <w:fldChar w:fldCharType="end"/>
      </w:r>
      <w:r>
        <w:rPr>
          <w:bCs/>
          <w:lang w:val="zh-CN"/>
        </w:rPr>
        <w:fldChar w:fldCharType="end"/>
      </w:r>
    </w:p>
    <w:p w14:paraId="73B782DC">
      <w:pPr>
        <w:pStyle w:val="20"/>
        <w:tabs>
          <w:tab w:val="right" w:leader="dot" w:pos="8306"/>
        </w:tabs>
      </w:pPr>
      <w:r>
        <w:rPr>
          <w:bCs/>
          <w:lang w:val="zh-CN"/>
        </w:rPr>
        <w:fldChar w:fldCharType="begin"/>
      </w:r>
      <w:r>
        <w:rPr>
          <w:bCs/>
          <w:lang w:val="zh-CN"/>
        </w:rPr>
        <w:instrText xml:space="preserve"> HYPERLINK \l _Toc4146 </w:instrText>
      </w:r>
      <w:r>
        <w:rPr>
          <w:bCs/>
          <w:lang w:val="zh-CN"/>
        </w:rPr>
        <w:fldChar w:fldCharType="separate"/>
      </w:r>
      <w:r>
        <w:rPr>
          <w:snapToGrid w:val="0"/>
          <w:kern w:val="0"/>
        </w:rPr>
        <w:t xml:space="preserve">2.1. </w:t>
      </w:r>
      <w:r>
        <w:rPr>
          <w:rFonts w:hint="eastAsia"/>
          <w:snapToGrid w:val="0"/>
          <w:kern w:val="0"/>
        </w:rPr>
        <w:t>需求目的</w:t>
      </w:r>
      <w:r>
        <w:tab/>
      </w:r>
      <w:r>
        <w:fldChar w:fldCharType="begin"/>
      </w:r>
      <w:r>
        <w:instrText xml:space="preserve"> PAGEREF _Toc4146 \h </w:instrText>
      </w:r>
      <w:r>
        <w:fldChar w:fldCharType="separate"/>
      </w:r>
      <w:r>
        <w:t>3</w:t>
      </w:r>
      <w:r>
        <w:fldChar w:fldCharType="end"/>
      </w:r>
      <w:r>
        <w:rPr>
          <w:bCs/>
          <w:lang w:val="zh-CN"/>
        </w:rPr>
        <w:fldChar w:fldCharType="end"/>
      </w:r>
    </w:p>
    <w:p w14:paraId="5D35BC15">
      <w:pPr>
        <w:pStyle w:val="20"/>
        <w:tabs>
          <w:tab w:val="right" w:leader="dot" w:pos="8306"/>
        </w:tabs>
      </w:pPr>
      <w:r>
        <w:rPr>
          <w:bCs/>
          <w:lang w:val="zh-CN"/>
        </w:rPr>
        <w:fldChar w:fldCharType="begin"/>
      </w:r>
      <w:r>
        <w:rPr>
          <w:bCs/>
          <w:lang w:val="zh-CN"/>
        </w:rPr>
        <w:instrText xml:space="preserve"> HYPERLINK \l _Toc32676 </w:instrText>
      </w:r>
      <w:r>
        <w:rPr>
          <w:bCs/>
          <w:lang w:val="zh-CN"/>
        </w:rPr>
        <w:fldChar w:fldCharType="separate"/>
      </w:r>
      <w:r>
        <w:rPr>
          <w:snapToGrid w:val="0"/>
          <w:kern w:val="0"/>
        </w:rPr>
        <w:t xml:space="preserve">2.2. </w:t>
      </w:r>
      <w:r>
        <w:rPr>
          <w:rFonts w:hint="eastAsia"/>
          <w:snapToGrid w:val="0"/>
          <w:kern w:val="0"/>
        </w:rPr>
        <w:t>业务需求</w:t>
      </w:r>
      <w:r>
        <w:tab/>
      </w:r>
      <w:r>
        <w:fldChar w:fldCharType="begin"/>
      </w:r>
      <w:r>
        <w:instrText xml:space="preserve"> PAGEREF _Toc32676 \h </w:instrText>
      </w:r>
      <w:r>
        <w:fldChar w:fldCharType="separate"/>
      </w:r>
      <w:r>
        <w:t>3</w:t>
      </w:r>
      <w:r>
        <w:fldChar w:fldCharType="end"/>
      </w:r>
      <w:r>
        <w:rPr>
          <w:bCs/>
          <w:lang w:val="zh-CN"/>
        </w:rPr>
        <w:fldChar w:fldCharType="end"/>
      </w:r>
    </w:p>
    <w:p w14:paraId="103A3DE1">
      <w:pPr>
        <w:pStyle w:val="12"/>
        <w:tabs>
          <w:tab w:val="right" w:leader="dot" w:pos="8306"/>
        </w:tabs>
      </w:pPr>
      <w:r>
        <w:rPr>
          <w:bCs/>
          <w:lang w:val="zh-CN"/>
        </w:rPr>
        <w:fldChar w:fldCharType="begin"/>
      </w:r>
      <w:r>
        <w:rPr>
          <w:bCs/>
          <w:lang w:val="zh-CN"/>
        </w:rPr>
        <w:instrText xml:space="preserve"> HYPERLINK \l _Toc17102 </w:instrText>
      </w:r>
      <w:r>
        <w:rPr>
          <w:bCs/>
          <w:lang w:val="zh-CN"/>
        </w:rPr>
        <w:fldChar w:fldCharType="separate"/>
      </w:r>
      <w:r>
        <w:rPr>
          <w:rFonts w:hint="default" w:ascii="Arial" w:hAnsi="Arial" w:eastAsia="黑体" w:cs="Arial"/>
        </w:rPr>
        <w:t xml:space="preserve">2.2.1. </w:t>
      </w:r>
      <w:r>
        <w:rPr>
          <w:rFonts w:hint="eastAsia" w:ascii="黑体" w:hAnsi="黑体" w:eastAsia="黑体"/>
        </w:rPr>
        <w:t>业务原始需求</w:t>
      </w:r>
      <w:r>
        <w:tab/>
      </w:r>
      <w:r>
        <w:fldChar w:fldCharType="begin"/>
      </w:r>
      <w:r>
        <w:instrText xml:space="preserve"> PAGEREF _Toc17102 \h </w:instrText>
      </w:r>
      <w:r>
        <w:fldChar w:fldCharType="separate"/>
      </w:r>
      <w:r>
        <w:t>3</w:t>
      </w:r>
      <w:r>
        <w:fldChar w:fldCharType="end"/>
      </w:r>
      <w:r>
        <w:rPr>
          <w:bCs/>
          <w:lang w:val="zh-CN"/>
        </w:rPr>
        <w:fldChar w:fldCharType="end"/>
      </w:r>
    </w:p>
    <w:p w14:paraId="03065487">
      <w:pPr>
        <w:pStyle w:val="12"/>
        <w:tabs>
          <w:tab w:val="right" w:leader="dot" w:pos="8306"/>
        </w:tabs>
      </w:pPr>
      <w:r>
        <w:rPr>
          <w:bCs/>
          <w:lang w:val="zh-CN"/>
        </w:rPr>
        <w:fldChar w:fldCharType="begin"/>
      </w:r>
      <w:r>
        <w:rPr>
          <w:bCs/>
          <w:lang w:val="zh-CN"/>
        </w:rPr>
        <w:instrText xml:space="preserve"> HYPERLINK \l _Toc24960 </w:instrText>
      </w:r>
      <w:r>
        <w:rPr>
          <w:bCs/>
          <w:lang w:val="zh-CN"/>
        </w:rPr>
        <w:fldChar w:fldCharType="separate"/>
      </w:r>
      <w:r>
        <w:rPr>
          <w:rFonts w:hint="default" w:ascii="Arial" w:hAnsi="Arial" w:eastAsia="黑体" w:cs="Arial"/>
        </w:rPr>
        <w:t xml:space="preserve">2.2.2. </w:t>
      </w:r>
      <w:r>
        <w:rPr>
          <w:rFonts w:hint="eastAsia" w:ascii="黑体" w:hAnsi="黑体" w:eastAsia="黑体"/>
        </w:rPr>
        <w:t>交付要求</w:t>
      </w:r>
      <w:r>
        <w:tab/>
      </w:r>
      <w:r>
        <w:fldChar w:fldCharType="begin"/>
      </w:r>
      <w:r>
        <w:instrText xml:space="preserve"> PAGEREF _Toc24960 \h </w:instrText>
      </w:r>
      <w:r>
        <w:fldChar w:fldCharType="separate"/>
      </w:r>
      <w:r>
        <w:t>3</w:t>
      </w:r>
      <w:r>
        <w:fldChar w:fldCharType="end"/>
      </w:r>
      <w:r>
        <w:rPr>
          <w:bCs/>
          <w:lang w:val="zh-CN"/>
        </w:rPr>
        <w:fldChar w:fldCharType="end"/>
      </w:r>
    </w:p>
    <w:p w14:paraId="2C6863B5">
      <w:pPr>
        <w:pStyle w:val="20"/>
        <w:tabs>
          <w:tab w:val="right" w:leader="dot" w:pos="8306"/>
        </w:tabs>
      </w:pPr>
      <w:r>
        <w:rPr>
          <w:bCs/>
          <w:lang w:val="zh-CN"/>
        </w:rPr>
        <w:fldChar w:fldCharType="begin"/>
      </w:r>
      <w:r>
        <w:rPr>
          <w:bCs/>
          <w:lang w:val="zh-CN"/>
        </w:rPr>
        <w:instrText xml:space="preserve"> HYPERLINK \l _Toc14021 </w:instrText>
      </w:r>
      <w:r>
        <w:rPr>
          <w:bCs/>
          <w:lang w:val="zh-CN"/>
        </w:rPr>
        <w:fldChar w:fldCharType="separate"/>
      </w:r>
      <w:r>
        <w:rPr>
          <w:snapToGrid w:val="0"/>
          <w:kern w:val="0"/>
        </w:rPr>
        <w:t xml:space="preserve">2.3. </w:t>
      </w:r>
      <w:r>
        <w:rPr>
          <w:rFonts w:hint="eastAsia"/>
          <w:snapToGrid w:val="0"/>
          <w:kern w:val="0"/>
        </w:rPr>
        <w:t>业务流程</w:t>
      </w:r>
      <w:r>
        <w:tab/>
      </w:r>
      <w:r>
        <w:fldChar w:fldCharType="begin"/>
      </w:r>
      <w:r>
        <w:instrText xml:space="preserve"> PAGEREF _Toc14021 \h </w:instrText>
      </w:r>
      <w:r>
        <w:fldChar w:fldCharType="separate"/>
      </w:r>
      <w:r>
        <w:t>3</w:t>
      </w:r>
      <w:r>
        <w:fldChar w:fldCharType="end"/>
      </w:r>
      <w:r>
        <w:rPr>
          <w:bCs/>
          <w:lang w:val="zh-CN"/>
        </w:rPr>
        <w:fldChar w:fldCharType="end"/>
      </w:r>
    </w:p>
    <w:p w14:paraId="14C98061">
      <w:pPr>
        <w:pStyle w:val="19"/>
        <w:tabs>
          <w:tab w:val="right" w:leader="dot" w:pos="8306"/>
        </w:tabs>
      </w:pPr>
      <w:r>
        <w:rPr>
          <w:bCs/>
          <w:lang w:val="zh-CN"/>
        </w:rPr>
        <w:fldChar w:fldCharType="begin"/>
      </w:r>
      <w:r>
        <w:rPr>
          <w:bCs/>
          <w:lang w:val="zh-CN"/>
        </w:rPr>
        <w:instrText xml:space="preserve"> HYPERLINK \l _Toc9495 </w:instrText>
      </w:r>
      <w:r>
        <w:rPr>
          <w:bCs/>
          <w:lang w:val="zh-CN"/>
        </w:rPr>
        <w:fldChar w:fldCharType="separate"/>
      </w:r>
      <w:r>
        <w:rPr>
          <w:rFonts w:hint="default" w:ascii="Arial" w:hAnsi="Arial" w:eastAsia="黑体" w:cs="Arial"/>
        </w:rPr>
        <w:t xml:space="preserve">3. </w:t>
      </w:r>
      <w:r>
        <w:rPr>
          <w:rFonts w:hint="eastAsia" w:ascii="黑体" w:hAnsi="黑体" w:eastAsia="黑体"/>
        </w:rPr>
        <w:t>功能性需求</w:t>
      </w:r>
      <w:r>
        <w:tab/>
      </w:r>
      <w:r>
        <w:fldChar w:fldCharType="begin"/>
      </w:r>
      <w:r>
        <w:instrText xml:space="preserve"> PAGEREF _Toc9495 \h </w:instrText>
      </w:r>
      <w:r>
        <w:fldChar w:fldCharType="separate"/>
      </w:r>
      <w:r>
        <w:t>3</w:t>
      </w:r>
      <w:r>
        <w:fldChar w:fldCharType="end"/>
      </w:r>
      <w:r>
        <w:rPr>
          <w:bCs/>
          <w:lang w:val="zh-CN"/>
        </w:rPr>
        <w:fldChar w:fldCharType="end"/>
      </w:r>
    </w:p>
    <w:p w14:paraId="78AB164F">
      <w:pPr>
        <w:pStyle w:val="20"/>
        <w:tabs>
          <w:tab w:val="right" w:leader="dot" w:pos="8306"/>
        </w:tabs>
      </w:pPr>
      <w:r>
        <w:rPr>
          <w:bCs/>
          <w:lang w:val="zh-CN"/>
        </w:rPr>
        <w:fldChar w:fldCharType="begin"/>
      </w:r>
      <w:r>
        <w:rPr>
          <w:bCs/>
          <w:lang w:val="zh-CN"/>
        </w:rPr>
        <w:instrText xml:space="preserve"> HYPERLINK \l _Toc18737 </w:instrText>
      </w:r>
      <w:r>
        <w:rPr>
          <w:bCs/>
          <w:lang w:val="zh-CN"/>
        </w:rPr>
        <w:fldChar w:fldCharType="separate"/>
      </w:r>
      <w:r>
        <w:rPr>
          <w:rFonts w:hint="eastAsia"/>
          <w:snapToGrid w:val="0"/>
          <w:kern w:val="0"/>
          <w:lang w:val="en-US" w:eastAsia="zh-CN"/>
        </w:rPr>
        <w:t xml:space="preserve">3.1. </w:t>
      </w:r>
      <w:r>
        <w:rPr>
          <w:rFonts w:hint="eastAsia"/>
          <w:snapToGrid w:val="0"/>
          <w:kern w:val="0"/>
        </w:rPr>
        <w:t>需求</w:t>
      </w:r>
      <w:r>
        <w:rPr>
          <w:rFonts w:hint="eastAsia"/>
          <w:snapToGrid w:val="0"/>
          <w:kern w:val="0"/>
          <w:lang w:val="en-US" w:eastAsia="zh-CN"/>
        </w:rPr>
        <w:t>1车险理赔系统</w:t>
      </w:r>
      <w:r>
        <w:tab/>
      </w:r>
      <w:r>
        <w:fldChar w:fldCharType="begin"/>
      </w:r>
      <w:r>
        <w:instrText xml:space="preserve"> PAGEREF _Toc18737 \h </w:instrText>
      </w:r>
      <w:r>
        <w:fldChar w:fldCharType="separate"/>
      </w:r>
      <w:r>
        <w:t>3</w:t>
      </w:r>
      <w:r>
        <w:fldChar w:fldCharType="end"/>
      </w:r>
      <w:r>
        <w:rPr>
          <w:bCs/>
          <w:lang w:val="zh-CN"/>
        </w:rPr>
        <w:fldChar w:fldCharType="end"/>
      </w:r>
    </w:p>
    <w:p w14:paraId="1D51C2B7">
      <w:pPr>
        <w:pStyle w:val="12"/>
        <w:tabs>
          <w:tab w:val="right" w:leader="dot" w:pos="8306"/>
        </w:tabs>
      </w:pPr>
      <w:r>
        <w:rPr>
          <w:bCs/>
          <w:lang w:val="zh-CN"/>
        </w:rPr>
        <w:fldChar w:fldCharType="begin"/>
      </w:r>
      <w:r>
        <w:rPr>
          <w:bCs/>
          <w:lang w:val="zh-CN"/>
        </w:rPr>
        <w:instrText xml:space="preserve"> HYPERLINK \l _Toc9055 </w:instrText>
      </w:r>
      <w:r>
        <w:rPr>
          <w:bCs/>
          <w:lang w:val="zh-CN"/>
        </w:rPr>
        <w:fldChar w:fldCharType="separate"/>
      </w:r>
      <w:r>
        <w:rPr>
          <w:rFonts w:hint="default" w:ascii="Arial" w:hAnsi="Arial" w:eastAsia="黑体" w:cs="Arial"/>
        </w:rPr>
        <w:t xml:space="preserve">3.1.1. </w:t>
      </w:r>
      <w:r>
        <w:rPr>
          <w:rFonts w:hint="eastAsia" w:ascii="黑体" w:hAnsi="黑体" w:eastAsia="黑体"/>
        </w:rPr>
        <w:t>功能描述</w:t>
      </w:r>
      <w:r>
        <w:tab/>
      </w:r>
      <w:r>
        <w:fldChar w:fldCharType="begin"/>
      </w:r>
      <w:r>
        <w:instrText xml:space="preserve"> PAGEREF _Toc9055 \h </w:instrText>
      </w:r>
      <w:r>
        <w:fldChar w:fldCharType="separate"/>
      </w:r>
      <w:r>
        <w:t>3</w:t>
      </w:r>
      <w:r>
        <w:fldChar w:fldCharType="end"/>
      </w:r>
      <w:r>
        <w:rPr>
          <w:bCs/>
          <w:lang w:val="zh-CN"/>
        </w:rPr>
        <w:fldChar w:fldCharType="end"/>
      </w:r>
    </w:p>
    <w:p w14:paraId="2C6BE164">
      <w:pPr>
        <w:pStyle w:val="12"/>
        <w:tabs>
          <w:tab w:val="right" w:leader="dot" w:pos="8306"/>
        </w:tabs>
      </w:pPr>
      <w:r>
        <w:rPr>
          <w:bCs/>
          <w:lang w:val="zh-CN"/>
        </w:rPr>
        <w:fldChar w:fldCharType="begin"/>
      </w:r>
      <w:r>
        <w:rPr>
          <w:bCs/>
          <w:lang w:val="zh-CN"/>
        </w:rPr>
        <w:instrText xml:space="preserve"> HYPERLINK \l _Toc18000 </w:instrText>
      </w:r>
      <w:r>
        <w:rPr>
          <w:bCs/>
          <w:lang w:val="zh-CN"/>
        </w:rPr>
        <w:fldChar w:fldCharType="separate"/>
      </w:r>
      <w:r>
        <w:rPr>
          <w:rFonts w:hint="default" w:ascii="Arial" w:hAnsi="Arial" w:eastAsia="黑体" w:cs="Arial"/>
        </w:rPr>
        <w:t xml:space="preserve">3.1.2. </w:t>
      </w:r>
      <w:r>
        <w:rPr>
          <w:rFonts w:hint="eastAsia" w:ascii="黑体" w:hAnsi="黑体" w:eastAsia="黑体"/>
        </w:rPr>
        <w:t>业务规则/算法</w:t>
      </w:r>
      <w:r>
        <w:tab/>
      </w:r>
      <w:r>
        <w:fldChar w:fldCharType="begin"/>
      </w:r>
      <w:r>
        <w:instrText xml:space="preserve"> PAGEREF _Toc18000 \h </w:instrText>
      </w:r>
      <w:r>
        <w:fldChar w:fldCharType="separate"/>
      </w:r>
      <w:r>
        <w:t>4</w:t>
      </w:r>
      <w:r>
        <w:fldChar w:fldCharType="end"/>
      </w:r>
      <w:r>
        <w:rPr>
          <w:bCs/>
          <w:lang w:val="zh-CN"/>
        </w:rPr>
        <w:fldChar w:fldCharType="end"/>
      </w:r>
    </w:p>
    <w:p w14:paraId="3C0298FB">
      <w:pPr>
        <w:pStyle w:val="12"/>
        <w:tabs>
          <w:tab w:val="right" w:leader="dot" w:pos="8306"/>
        </w:tabs>
      </w:pPr>
      <w:r>
        <w:rPr>
          <w:bCs/>
          <w:lang w:val="zh-CN"/>
        </w:rPr>
        <w:fldChar w:fldCharType="begin"/>
      </w:r>
      <w:r>
        <w:rPr>
          <w:bCs/>
          <w:lang w:val="zh-CN"/>
        </w:rPr>
        <w:instrText xml:space="preserve"> HYPERLINK \l _Toc31296 </w:instrText>
      </w:r>
      <w:r>
        <w:rPr>
          <w:bCs/>
          <w:lang w:val="zh-CN"/>
        </w:rPr>
        <w:fldChar w:fldCharType="separate"/>
      </w:r>
      <w:r>
        <w:rPr>
          <w:rFonts w:ascii="黑体" w:hAnsi="黑体" w:eastAsia="黑体"/>
        </w:rPr>
        <w:t xml:space="preserve">3.1.2.1. </w:t>
      </w:r>
      <w:r>
        <w:rPr>
          <w:rFonts w:hint="eastAsia" w:ascii="黑体" w:hAnsi="黑体" w:eastAsia="黑体"/>
          <w:lang w:val="en-US" w:eastAsia="zh-CN"/>
        </w:rPr>
        <w:t>人伤跟踪各阶段/人伤跟踪各阶段审核</w:t>
      </w:r>
      <w:r>
        <w:tab/>
      </w:r>
      <w:r>
        <w:fldChar w:fldCharType="begin"/>
      </w:r>
      <w:r>
        <w:instrText xml:space="preserve"> PAGEREF _Toc31296 \h </w:instrText>
      </w:r>
      <w:r>
        <w:fldChar w:fldCharType="separate"/>
      </w:r>
      <w:r>
        <w:t>4</w:t>
      </w:r>
      <w:r>
        <w:fldChar w:fldCharType="end"/>
      </w:r>
      <w:r>
        <w:rPr>
          <w:bCs/>
          <w:lang w:val="zh-CN"/>
        </w:rPr>
        <w:fldChar w:fldCharType="end"/>
      </w:r>
    </w:p>
    <w:p w14:paraId="2D75902F">
      <w:pPr>
        <w:pStyle w:val="12"/>
        <w:tabs>
          <w:tab w:val="right" w:leader="dot" w:pos="8306"/>
        </w:tabs>
      </w:pPr>
      <w:r>
        <w:rPr>
          <w:bCs/>
          <w:lang w:val="zh-CN"/>
        </w:rPr>
        <w:fldChar w:fldCharType="begin"/>
      </w:r>
      <w:r>
        <w:rPr>
          <w:bCs/>
          <w:lang w:val="zh-CN"/>
        </w:rPr>
        <w:instrText xml:space="preserve"> HYPERLINK \l _Toc13470 </w:instrText>
      </w:r>
      <w:r>
        <w:rPr>
          <w:bCs/>
          <w:lang w:val="zh-CN"/>
        </w:rPr>
        <w:fldChar w:fldCharType="separate"/>
      </w:r>
      <w:r>
        <w:rPr>
          <w:rFonts w:ascii="黑体" w:hAnsi="黑体" w:eastAsia="黑体"/>
        </w:rPr>
        <w:t xml:space="preserve">3.1.2.2. </w:t>
      </w:r>
      <w:r>
        <w:rPr>
          <w:rFonts w:hint="eastAsia" w:ascii="黑体" w:hAnsi="黑体" w:eastAsia="黑体"/>
          <w:lang w:val="en-US" w:eastAsia="zh-CN"/>
        </w:rPr>
        <w:t>人伤全案核损通过</w:t>
      </w:r>
      <w:r>
        <w:tab/>
      </w:r>
      <w:r>
        <w:fldChar w:fldCharType="begin"/>
      </w:r>
      <w:r>
        <w:instrText xml:space="preserve"> PAGEREF _Toc13470 \h </w:instrText>
      </w:r>
      <w:r>
        <w:fldChar w:fldCharType="separate"/>
      </w:r>
      <w:r>
        <w:t>4</w:t>
      </w:r>
      <w:r>
        <w:fldChar w:fldCharType="end"/>
      </w:r>
      <w:r>
        <w:rPr>
          <w:bCs/>
          <w:lang w:val="zh-CN"/>
        </w:rPr>
        <w:fldChar w:fldCharType="end"/>
      </w:r>
    </w:p>
    <w:p w14:paraId="2E427CA8">
      <w:pPr>
        <w:pStyle w:val="12"/>
        <w:tabs>
          <w:tab w:val="right" w:leader="dot" w:pos="8306"/>
        </w:tabs>
      </w:pPr>
      <w:r>
        <w:rPr>
          <w:bCs/>
          <w:lang w:val="zh-CN"/>
        </w:rPr>
        <w:fldChar w:fldCharType="begin"/>
      </w:r>
      <w:r>
        <w:rPr>
          <w:bCs/>
          <w:lang w:val="zh-CN"/>
        </w:rPr>
        <w:instrText xml:space="preserve"> HYPERLINK \l _Toc15781 </w:instrText>
      </w:r>
      <w:r>
        <w:rPr>
          <w:bCs/>
          <w:lang w:val="zh-CN"/>
        </w:rPr>
        <w:fldChar w:fldCharType="separate"/>
      </w:r>
      <w:r>
        <w:rPr>
          <w:rFonts w:ascii="黑体" w:hAnsi="黑体" w:eastAsia="黑体"/>
        </w:rPr>
        <w:t xml:space="preserve">3.1.2.3. </w:t>
      </w:r>
      <w:r>
        <w:rPr>
          <w:rFonts w:hint="eastAsia" w:ascii="黑体" w:hAnsi="黑体" w:eastAsia="黑体"/>
          <w:lang w:val="en-US" w:eastAsia="zh-CN"/>
        </w:rPr>
        <w:t>理算</w:t>
      </w:r>
      <w:r>
        <w:tab/>
      </w:r>
      <w:r>
        <w:fldChar w:fldCharType="begin"/>
      </w:r>
      <w:r>
        <w:instrText xml:space="preserve"> PAGEREF _Toc15781 \h </w:instrText>
      </w:r>
      <w:r>
        <w:fldChar w:fldCharType="separate"/>
      </w:r>
      <w:r>
        <w:t>4</w:t>
      </w:r>
      <w:r>
        <w:fldChar w:fldCharType="end"/>
      </w:r>
      <w:r>
        <w:rPr>
          <w:bCs/>
          <w:lang w:val="zh-CN"/>
        </w:rPr>
        <w:fldChar w:fldCharType="end"/>
      </w:r>
    </w:p>
    <w:p w14:paraId="0F4E2334">
      <w:pPr>
        <w:pStyle w:val="12"/>
        <w:tabs>
          <w:tab w:val="right" w:leader="dot" w:pos="8306"/>
        </w:tabs>
      </w:pPr>
      <w:r>
        <w:rPr>
          <w:bCs/>
          <w:lang w:val="zh-CN"/>
        </w:rPr>
        <w:fldChar w:fldCharType="begin"/>
      </w:r>
      <w:r>
        <w:rPr>
          <w:bCs/>
          <w:lang w:val="zh-CN"/>
        </w:rPr>
        <w:instrText xml:space="preserve"> HYPERLINK \l _Toc2583 </w:instrText>
      </w:r>
      <w:r>
        <w:rPr>
          <w:bCs/>
          <w:lang w:val="zh-CN"/>
        </w:rPr>
        <w:fldChar w:fldCharType="separate"/>
      </w:r>
      <w:r>
        <w:rPr>
          <w:rFonts w:hint="default" w:ascii="Arial" w:hAnsi="Arial" w:eastAsia="黑体" w:cs="Arial"/>
        </w:rPr>
        <w:t xml:space="preserve">3.1.3. </w:t>
      </w:r>
      <w:r>
        <w:rPr>
          <w:rFonts w:hint="eastAsia" w:ascii="黑体" w:hAnsi="黑体" w:eastAsia="黑体"/>
        </w:rPr>
        <w:t>界面原型</w:t>
      </w:r>
      <w:r>
        <w:tab/>
      </w:r>
      <w:r>
        <w:fldChar w:fldCharType="begin"/>
      </w:r>
      <w:r>
        <w:instrText xml:space="preserve"> PAGEREF _Toc2583 \h </w:instrText>
      </w:r>
      <w:r>
        <w:fldChar w:fldCharType="separate"/>
      </w:r>
      <w:r>
        <w:t>5</w:t>
      </w:r>
      <w:r>
        <w:fldChar w:fldCharType="end"/>
      </w:r>
      <w:r>
        <w:rPr>
          <w:bCs/>
          <w:lang w:val="zh-CN"/>
        </w:rPr>
        <w:fldChar w:fldCharType="end"/>
      </w:r>
    </w:p>
    <w:p w14:paraId="62FE1958">
      <w:pPr>
        <w:pStyle w:val="20"/>
        <w:tabs>
          <w:tab w:val="right" w:leader="dot" w:pos="8306"/>
        </w:tabs>
      </w:pPr>
      <w:r>
        <w:rPr>
          <w:bCs/>
          <w:lang w:val="zh-CN"/>
        </w:rPr>
        <w:fldChar w:fldCharType="begin"/>
      </w:r>
      <w:r>
        <w:rPr>
          <w:bCs/>
          <w:lang w:val="zh-CN"/>
        </w:rPr>
        <w:instrText xml:space="preserve"> HYPERLINK \l _Toc32350 </w:instrText>
      </w:r>
      <w:r>
        <w:rPr>
          <w:bCs/>
          <w:lang w:val="zh-CN"/>
        </w:rPr>
        <w:fldChar w:fldCharType="separate"/>
      </w:r>
      <w:r>
        <w:rPr>
          <w:rFonts w:hint="eastAsia"/>
          <w:snapToGrid w:val="0"/>
          <w:kern w:val="0"/>
          <w:lang w:val="en-US" w:eastAsia="zh-CN"/>
        </w:rPr>
        <w:t xml:space="preserve">3.2. </w:t>
      </w:r>
      <w:r>
        <w:rPr>
          <w:rFonts w:hint="eastAsia"/>
          <w:snapToGrid w:val="0"/>
          <w:kern w:val="0"/>
        </w:rPr>
        <w:t>需求</w:t>
      </w:r>
      <w:r>
        <w:rPr>
          <w:rFonts w:hint="eastAsia"/>
          <w:snapToGrid w:val="0"/>
          <w:kern w:val="0"/>
          <w:lang w:val="en-US" w:eastAsia="zh-CN"/>
        </w:rPr>
        <w:t>2移动理赔系统</w:t>
      </w:r>
      <w:r>
        <w:tab/>
      </w:r>
      <w:r>
        <w:fldChar w:fldCharType="begin"/>
      </w:r>
      <w:r>
        <w:instrText xml:space="preserve"> PAGEREF _Toc32350 \h </w:instrText>
      </w:r>
      <w:r>
        <w:fldChar w:fldCharType="separate"/>
      </w:r>
      <w:r>
        <w:t>5</w:t>
      </w:r>
      <w:r>
        <w:fldChar w:fldCharType="end"/>
      </w:r>
      <w:r>
        <w:rPr>
          <w:bCs/>
          <w:lang w:val="zh-CN"/>
        </w:rPr>
        <w:fldChar w:fldCharType="end"/>
      </w:r>
    </w:p>
    <w:p w14:paraId="06B6AA74">
      <w:pPr>
        <w:pStyle w:val="12"/>
        <w:tabs>
          <w:tab w:val="right" w:leader="dot" w:pos="8306"/>
        </w:tabs>
      </w:pPr>
      <w:r>
        <w:rPr>
          <w:bCs/>
          <w:lang w:val="zh-CN"/>
        </w:rPr>
        <w:fldChar w:fldCharType="begin"/>
      </w:r>
      <w:r>
        <w:rPr>
          <w:bCs/>
          <w:lang w:val="zh-CN"/>
        </w:rPr>
        <w:instrText xml:space="preserve"> HYPERLINK \l _Toc9251 </w:instrText>
      </w:r>
      <w:r>
        <w:rPr>
          <w:bCs/>
          <w:lang w:val="zh-CN"/>
        </w:rPr>
        <w:fldChar w:fldCharType="separate"/>
      </w:r>
      <w:r>
        <w:rPr>
          <w:rFonts w:hint="default" w:ascii="Arial" w:hAnsi="Arial" w:eastAsia="黑体" w:cs="Arial"/>
        </w:rPr>
        <w:t xml:space="preserve">3.2.1. </w:t>
      </w:r>
      <w:r>
        <w:rPr>
          <w:rFonts w:hint="eastAsia" w:ascii="黑体" w:hAnsi="黑体" w:eastAsia="黑体"/>
        </w:rPr>
        <w:t>功能描述</w:t>
      </w:r>
      <w:r>
        <w:tab/>
      </w:r>
      <w:r>
        <w:fldChar w:fldCharType="begin"/>
      </w:r>
      <w:r>
        <w:instrText xml:space="preserve"> PAGEREF _Toc9251 \h </w:instrText>
      </w:r>
      <w:r>
        <w:fldChar w:fldCharType="separate"/>
      </w:r>
      <w:r>
        <w:t>5</w:t>
      </w:r>
      <w:r>
        <w:fldChar w:fldCharType="end"/>
      </w:r>
      <w:r>
        <w:rPr>
          <w:bCs/>
          <w:lang w:val="zh-CN"/>
        </w:rPr>
        <w:fldChar w:fldCharType="end"/>
      </w:r>
    </w:p>
    <w:p w14:paraId="73742DE8">
      <w:pPr>
        <w:pStyle w:val="12"/>
        <w:tabs>
          <w:tab w:val="right" w:leader="dot" w:pos="8306"/>
        </w:tabs>
      </w:pPr>
      <w:r>
        <w:rPr>
          <w:bCs/>
          <w:lang w:val="zh-CN"/>
        </w:rPr>
        <w:fldChar w:fldCharType="begin"/>
      </w:r>
      <w:r>
        <w:rPr>
          <w:bCs/>
          <w:lang w:val="zh-CN"/>
        </w:rPr>
        <w:instrText xml:space="preserve"> HYPERLINK \l _Toc15546 </w:instrText>
      </w:r>
      <w:r>
        <w:rPr>
          <w:bCs/>
          <w:lang w:val="zh-CN"/>
        </w:rPr>
        <w:fldChar w:fldCharType="separate"/>
      </w:r>
      <w:r>
        <w:rPr>
          <w:rFonts w:hint="default" w:ascii="Arial" w:hAnsi="Arial" w:eastAsia="黑体" w:cs="Arial"/>
        </w:rPr>
        <w:t xml:space="preserve">3.2.2. </w:t>
      </w:r>
      <w:r>
        <w:rPr>
          <w:rFonts w:hint="eastAsia" w:ascii="黑体" w:hAnsi="黑体" w:eastAsia="黑体"/>
        </w:rPr>
        <w:t>业务规则/算法</w:t>
      </w:r>
      <w:r>
        <w:tab/>
      </w:r>
      <w:r>
        <w:fldChar w:fldCharType="begin"/>
      </w:r>
      <w:r>
        <w:instrText xml:space="preserve"> PAGEREF _Toc15546 \h </w:instrText>
      </w:r>
      <w:r>
        <w:fldChar w:fldCharType="separate"/>
      </w:r>
      <w:r>
        <w:t>5</w:t>
      </w:r>
      <w:r>
        <w:fldChar w:fldCharType="end"/>
      </w:r>
      <w:r>
        <w:rPr>
          <w:bCs/>
          <w:lang w:val="zh-CN"/>
        </w:rPr>
        <w:fldChar w:fldCharType="end"/>
      </w:r>
    </w:p>
    <w:p w14:paraId="435A6EDC">
      <w:pPr>
        <w:pStyle w:val="12"/>
        <w:tabs>
          <w:tab w:val="right" w:leader="dot" w:pos="8306"/>
        </w:tabs>
      </w:pPr>
      <w:r>
        <w:rPr>
          <w:bCs/>
          <w:lang w:val="zh-CN"/>
        </w:rPr>
        <w:fldChar w:fldCharType="begin"/>
      </w:r>
      <w:r>
        <w:rPr>
          <w:bCs/>
          <w:lang w:val="zh-CN"/>
        </w:rPr>
        <w:instrText xml:space="preserve"> HYPERLINK \l _Toc24626 </w:instrText>
      </w:r>
      <w:r>
        <w:rPr>
          <w:bCs/>
          <w:lang w:val="zh-CN"/>
        </w:rPr>
        <w:fldChar w:fldCharType="separate"/>
      </w:r>
      <w:r>
        <w:rPr>
          <w:rFonts w:ascii="黑体" w:hAnsi="黑体" w:eastAsia="黑体"/>
        </w:rPr>
        <w:t xml:space="preserve">3.2.2.1. </w:t>
      </w:r>
      <w:r>
        <w:rPr>
          <w:rFonts w:hint="eastAsia" w:ascii="黑体" w:hAnsi="黑体" w:eastAsia="黑体"/>
          <w:lang w:val="en-US" w:eastAsia="zh-CN"/>
        </w:rPr>
        <w:t>人伤跟踪</w:t>
      </w:r>
      <w:r>
        <w:tab/>
      </w:r>
      <w:r>
        <w:fldChar w:fldCharType="begin"/>
      </w:r>
      <w:r>
        <w:instrText xml:space="preserve"> PAGEREF _Toc24626 \h </w:instrText>
      </w:r>
      <w:r>
        <w:fldChar w:fldCharType="separate"/>
      </w:r>
      <w:r>
        <w:t>5</w:t>
      </w:r>
      <w:r>
        <w:fldChar w:fldCharType="end"/>
      </w:r>
      <w:r>
        <w:rPr>
          <w:bCs/>
          <w:lang w:val="zh-CN"/>
        </w:rPr>
        <w:fldChar w:fldCharType="end"/>
      </w:r>
    </w:p>
    <w:p w14:paraId="772E0D72">
      <w:pPr>
        <w:pStyle w:val="20"/>
        <w:tabs>
          <w:tab w:val="right" w:leader="dot" w:pos="8306"/>
        </w:tabs>
      </w:pPr>
      <w:r>
        <w:rPr>
          <w:bCs/>
          <w:lang w:val="zh-CN"/>
        </w:rPr>
        <w:fldChar w:fldCharType="begin"/>
      </w:r>
      <w:r>
        <w:rPr>
          <w:bCs/>
          <w:lang w:val="zh-CN"/>
        </w:rPr>
        <w:instrText xml:space="preserve"> HYPERLINK \l _Toc19775 </w:instrText>
      </w:r>
      <w:r>
        <w:rPr>
          <w:bCs/>
          <w:lang w:val="zh-CN"/>
        </w:rPr>
        <w:fldChar w:fldCharType="separate"/>
      </w:r>
      <w:r>
        <w:rPr>
          <w:snapToGrid w:val="0"/>
          <w:kern w:val="0"/>
        </w:rPr>
        <w:t xml:space="preserve">3.3. </w:t>
      </w:r>
      <w:r>
        <w:rPr>
          <w:rFonts w:hint="eastAsia"/>
          <w:snapToGrid w:val="0"/>
          <w:kern w:val="0"/>
        </w:rPr>
        <w:t>与外部系统接口</w:t>
      </w:r>
      <w:r>
        <w:tab/>
      </w:r>
      <w:r>
        <w:fldChar w:fldCharType="begin"/>
      </w:r>
      <w:r>
        <w:instrText xml:space="preserve"> PAGEREF _Toc19775 \h </w:instrText>
      </w:r>
      <w:r>
        <w:fldChar w:fldCharType="separate"/>
      </w:r>
      <w:r>
        <w:t>5</w:t>
      </w:r>
      <w:r>
        <w:fldChar w:fldCharType="end"/>
      </w:r>
      <w:r>
        <w:rPr>
          <w:bCs/>
          <w:lang w:val="zh-CN"/>
        </w:rPr>
        <w:fldChar w:fldCharType="end"/>
      </w:r>
    </w:p>
    <w:p w14:paraId="69AC7102">
      <w:pPr>
        <w:pStyle w:val="20"/>
        <w:tabs>
          <w:tab w:val="right" w:leader="dot" w:pos="8306"/>
        </w:tabs>
      </w:pPr>
      <w:r>
        <w:rPr>
          <w:bCs/>
          <w:lang w:val="zh-CN"/>
        </w:rPr>
        <w:fldChar w:fldCharType="begin"/>
      </w:r>
      <w:r>
        <w:rPr>
          <w:bCs/>
          <w:lang w:val="zh-CN"/>
        </w:rPr>
        <w:instrText xml:space="preserve"> HYPERLINK \l _Toc25127 </w:instrText>
      </w:r>
      <w:r>
        <w:rPr>
          <w:bCs/>
          <w:lang w:val="zh-CN"/>
        </w:rPr>
        <w:fldChar w:fldCharType="separate"/>
      </w:r>
      <w:r>
        <w:rPr>
          <w:snapToGrid w:val="0"/>
          <w:kern w:val="0"/>
        </w:rPr>
        <w:t xml:space="preserve">3.4. </w:t>
      </w:r>
      <w:r>
        <w:rPr>
          <w:rFonts w:hint="eastAsia"/>
          <w:snapToGrid w:val="0"/>
          <w:kern w:val="0"/>
        </w:rPr>
        <w:t>关联需求</w:t>
      </w:r>
      <w:r>
        <w:tab/>
      </w:r>
      <w:r>
        <w:fldChar w:fldCharType="begin"/>
      </w:r>
      <w:r>
        <w:instrText xml:space="preserve"> PAGEREF _Toc25127 \h </w:instrText>
      </w:r>
      <w:r>
        <w:fldChar w:fldCharType="separate"/>
      </w:r>
      <w:r>
        <w:t>5</w:t>
      </w:r>
      <w:r>
        <w:fldChar w:fldCharType="end"/>
      </w:r>
      <w:r>
        <w:rPr>
          <w:bCs/>
          <w:lang w:val="zh-CN"/>
        </w:rPr>
        <w:fldChar w:fldCharType="end"/>
      </w:r>
    </w:p>
    <w:p w14:paraId="55DE8401">
      <w:pPr>
        <w:pStyle w:val="20"/>
        <w:tabs>
          <w:tab w:val="right" w:leader="dot" w:pos="8306"/>
        </w:tabs>
      </w:pPr>
      <w:r>
        <w:rPr>
          <w:bCs/>
          <w:lang w:val="zh-CN"/>
        </w:rPr>
        <w:fldChar w:fldCharType="begin"/>
      </w:r>
      <w:r>
        <w:rPr>
          <w:bCs/>
          <w:lang w:val="zh-CN"/>
        </w:rPr>
        <w:instrText xml:space="preserve"> HYPERLINK \l _Toc10229 </w:instrText>
      </w:r>
      <w:r>
        <w:rPr>
          <w:bCs/>
          <w:lang w:val="zh-CN"/>
        </w:rPr>
        <w:fldChar w:fldCharType="separate"/>
      </w:r>
      <w:r>
        <w:rPr>
          <w:snapToGrid w:val="0"/>
          <w:kern w:val="0"/>
        </w:rPr>
        <w:t xml:space="preserve">3.5. </w:t>
      </w:r>
      <w:r>
        <w:rPr>
          <w:rFonts w:hint="eastAsia"/>
          <w:snapToGrid w:val="0"/>
          <w:kern w:val="0"/>
        </w:rPr>
        <w:t>历史数据处理</w:t>
      </w:r>
      <w:r>
        <w:tab/>
      </w:r>
      <w:r>
        <w:fldChar w:fldCharType="begin"/>
      </w:r>
      <w:r>
        <w:instrText xml:space="preserve"> PAGEREF _Toc10229 \h </w:instrText>
      </w:r>
      <w:r>
        <w:fldChar w:fldCharType="separate"/>
      </w:r>
      <w:r>
        <w:t>5</w:t>
      </w:r>
      <w:r>
        <w:fldChar w:fldCharType="end"/>
      </w:r>
      <w:r>
        <w:rPr>
          <w:bCs/>
          <w:lang w:val="zh-CN"/>
        </w:rPr>
        <w:fldChar w:fldCharType="end"/>
      </w:r>
    </w:p>
    <w:p w14:paraId="420AEE17">
      <w:pPr>
        <w:pStyle w:val="20"/>
        <w:tabs>
          <w:tab w:val="right" w:leader="dot" w:pos="8306"/>
        </w:tabs>
      </w:pPr>
      <w:r>
        <w:rPr>
          <w:bCs/>
          <w:lang w:val="zh-CN"/>
        </w:rPr>
        <w:fldChar w:fldCharType="begin"/>
      </w:r>
      <w:r>
        <w:rPr>
          <w:bCs/>
          <w:lang w:val="zh-CN"/>
        </w:rPr>
        <w:instrText xml:space="preserve"> HYPERLINK \l _Toc16108 </w:instrText>
      </w:r>
      <w:r>
        <w:rPr>
          <w:bCs/>
          <w:lang w:val="zh-CN"/>
        </w:rPr>
        <w:fldChar w:fldCharType="separate"/>
      </w:r>
      <w:r>
        <w:rPr>
          <w:snapToGrid w:val="0"/>
          <w:kern w:val="0"/>
        </w:rPr>
        <w:t xml:space="preserve">3.6. </w:t>
      </w:r>
      <w:r>
        <w:rPr>
          <w:rFonts w:hint="eastAsia"/>
          <w:snapToGrid w:val="0"/>
          <w:kern w:val="0"/>
        </w:rPr>
        <w:t>相关附件</w:t>
      </w:r>
      <w:r>
        <w:tab/>
      </w:r>
      <w:r>
        <w:fldChar w:fldCharType="begin"/>
      </w:r>
      <w:r>
        <w:instrText xml:space="preserve"> PAGEREF _Toc16108 \h </w:instrText>
      </w:r>
      <w:r>
        <w:fldChar w:fldCharType="separate"/>
      </w:r>
      <w:r>
        <w:t>5</w:t>
      </w:r>
      <w:r>
        <w:fldChar w:fldCharType="end"/>
      </w:r>
      <w:r>
        <w:rPr>
          <w:bCs/>
          <w:lang w:val="zh-CN"/>
        </w:rPr>
        <w:fldChar w:fldCharType="end"/>
      </w:r>
    </w:p>
    <w:p w14:paraId="1B0A789C">
      <w:pPr>
        <w:pStyle w:val="19"/>
        <w:tabs>
          <w:tab w:val="right" w:leader="dot" w:pos="8306"/>
        </w:tabs>
      </w:pPr>
      <w:r>
        <w:rPr>
          <w:bCs/>
          <w:lang w:val="zh-CN"/>
        </w:rPr>
        <w:fldChar w:fldCharType="begin"/>
      </w:r>
      <w:r>
        <w:rPr>
          <w:bCs/>
          <w:lang w:val="zh-CN"/>
        </w:rPr>
        <w:instrText xml:space="preserve"> HYPERLINK \l _Toc7953 </w:instrText>
      </w:r>
      <w:r>
        <w:rPr>
          <w:bCs/>
          <w:lang w:val="zh-CN"/>
        </w:rPr>
        <w:fldChar w:fldCharType="separate"/>
      </w:r>
      <w:r>
        <w:rPr>
          <w:rFonts w:hint="default" w:ascii="Arial" w:hAnsi="Arial" w:eastAsia="黑体" w:cs="Arial"/>
        </w:rPr>
        <w:t xml:space="preserve">4. </w:t>
      </w:r>
      <w:r>
        <w:rPr>
          <w:rFonts w:hint="eastAsia" w:ascii="黑体" w:hAnsi="黑体" w:eastAsia="黑体"/>
        </w:rPr>
        <w:t>非功能性需求</w:t>
      </w:r>
      <w:r>
        <w:tab/>
      </w:r>
      <w:r>
        <w:fldChar w:fldCharType="begin"/>
      </w:r>
      <w:r>
        <w:instrText xml:space="preserve"> PAGEREF _Toc7953 \h </w:instrText>
      </w:r>
      <w:r>
        <w:fldChar w:fldCharType="separate"/>
      </w:r>
      <w:r>
        <w:t>6</w:t>
      </w:r>
      <w:r>
        <w:fldChar w:fldCharType="end"/>
      </w:r>
      <w:r>
        <w:rPr>
          <w:bCs/>
          <w:lang w:val="zh-CN"/>
        </w:rPr>
        <w:fldChar w:fldCharType="end"/>
      </w:r>
    </w:p>
    <w:p w14:paraId="75C215EF">
      <w:pPr>
        <w:pStyle w:val="20"/>
        <w:tabs>
          <w:tab w:val="right" w:leader="dot" w:pos="8306"/>
        </w:tabs>
      </w:pPr>
      <w:r>
        <w:rPr>
          <w:bCs/>
          <w:lang w:val="zh-CN"/>
        </w:rPr>
        <w:fldChar w:fldCharType="begin"/>
      </w:r>
      <w:r>
        <w:rPr>
          <w:bCs/>
          <w:lang w:val="zh-CN"/>
        </w:rPr>
        <w:instrText xml:space="preserve"> HYPERLINK \l _Toc13554 </w:instrText>
      </w:r>
      <w:r>
        <w:rPr>
          <w:bCs/>
          <w:lang w:val="zh-CN"/>
        </w:rPr>
        <w:fldChar w:fldCharType="separate"/>
      </w:r>
      <w:r>
        <w:rPr>
          <w:snapToGrid w:val="0"/>
          <w:kern w:val="0"/>
        </w:rPr>
        <w:t xml:space="preserve">4.1. </w:t>
      </w:r>
      <w:r>
        <w:rPr>
          <w:rFonts w:hint="eastAsia"/>
          <w:snapToGrid w:val="0"/>
          <w:kern w:val="0"/>
        </w:rPr>
        <w:t>安全性需求</w:t>
      </w:r>
      <w:r>
        <w:tab/>
      </w:r>
      <w:r>
        <w:fldChar w:fldCharType="begin"/>
      </w:r>
      <w:r>
        <w:instrText xml:space="preserve"> PAGEREF _Toc13554 \h </w:instrText>
      </w:r>
      <w:r>
        <w:fldChar w:fldCharType="separate"/>
      </w:r>
      <w:r>
        <w:t>6</w:t>
      </w:r>
      <w:r>
        <w:fldChar w:fldCharType="end"/>
      </w:r>
      <w:r>
        <w:rPr>
          <w:bCs/>
          <w:lang w:val="zh-CN"/>
        </w:rPr>
        <w:fldChar w:fldCharType="end"/>
      </w:r>
    </w:p>
    <w:p w14:paraId="1779776B">
      <w:pPr>
        <w:pStyle w:val="20"/>
        <w:tabs>
          <w:tab w:val="right" w:leader="dot" w:pos="8306"/>
        </w:tabs>
      </w:pPr>
      <w:r>
        <w:rPr>
          <w:bCs/>
          <w:lang w:val="zh-CN"/>
        </w:rPr>
        <w:fldChar w:fldCharType="begin"/>
      </w:r>
      <w:r>
        <w:rPr>
          <w:bCs/>
          <w:lang w:val="zh-CN"/>
        </w:rPr>
        <w:instrText xml:space="preserve"> HYPERLINK \l _Toc8207 </w:instrText>
      </w:r>
      <w:r>
        <w:rPr>
          <w:bCs/>
          <w:lang w:val="zh-CN"/>
        </w:rPr>
        <w:fldChar w:fldCharType="separate"/>
      </w:r>
      <w:r>
        <w:rPr>
          <w:snapToGrid w:val="0"/>
          <w:kern w:val="0"/>
        </w:rPr>
        <w:t xml:space="preserve">4.2. </w:t>
      </w:r>
      <w:r>
        <w:rPr>
          <w:rFonts w:hint="eastAsia"/>
          <w:snapToGrid w:val="0"/>
          <w:kern w:val="0"/>
        </w:rPr>
        <w:t>其他非功能性需求</w:t>
      </w:r>
      <w:r>
        <w:tab/>
      </w:r>
      <w:r>
        <w:fldChar w:fldCharType="begin"/>
      </w:r>
      <w:r>
        <w:instrText xml:space="preserve"> PAGEREF _Toc8207 \h </w:instrText>
      </w:r>
      <w:r>
        <w:fldChar w:fldCharType="separate"/>
      </w:r>
      <w:r>
        <w:t>6</w:t>
      </w:r>
      <w:r>
        <w:fldChar w:fldCharType="end"/>
      </w:r>
      <w:r>
        <w:rPr>
          <w:bCs/>
          <w:lang w:val="zh-CN"/>
        </w:rPr>
        <w:fldChar w:fldCharType="end"/>
      </w:r>
    </w:p>
    <w:p w14:paraId="4F26BA73">
      <w:r>
        <w:rPr>
          <w:bCs/>
          <w:lang w:val="zh-CN"/>
        </w:rPr>
        <w:fldChar w:fldCharType="end"/>
      </w:r>
    </w:p>
    <w:p w14:paraId="3F5F12AF">
      <w:pPr>
        <w:widowControl/>
        <w:jc w:val="left"/>
      </w:pPr>
      <w:r>
        <w:br w:type="page"/>
      </w:r>
    </w:p>
    <w:p w14:paraId="4255D297">
      <w:pPr>
        <w:pStyle w:val="2"/>
        <w:numPr>
          <w:ilvl w:val="0"/>
          <w:numId w:val="2"/>
        </w:numPr>
        <w:rPr>
          <w:rFonts w:ascii="黑体" w:hAnsi="黑体" w:eastAsia="黑体"/>
        </w:rPr>
      </w:pPr>
      <w:bookmarkStart w:id="2" w:name="_Toc8831"/>
      <w:bookmarkStart w:id="3" w:name="_Toc374005698"/>
      <w:r>
        <w:rPr>
          <w:rFonts w:hint="eastAsia" w:ascii="黑体" w:hAnsi="黑体" w:eastAsia="黑体"/>
        </w:rPr>
        <w:t>用户</w:t>
      </w:r>
      <w:bookmarkEnd w:id="2"/>
      <w:bookmarkEnd w:id="3"/>
    </w:p>
    <w:p w14:paraId="4458B6BB">
      <w:pPr>
        <w:pStyle w:val="2"/>
        <w:numPr>
          <w:ilvl w:val="0"/>
          <w:numId w:val="2"/>
        </w:numPr>
        <w:rPr>
          <w:rFonts w:ascii="黑体" w:hAnsi="黑体" w:eastAsia="黑体"/>
        </w:rPr>
      </w:pPr>
      <w:bookmarkStart w:id="4" w:name="_Toc30810"/>
      <w:bookmarkStart w:id="5" w:name="_Toc374005699"/>
      <w:r>
        <w:rPr>
          <w:rFonts w:hint="eastAsia" w:ascii="黑体" w:hAnsi="黑体" w:eastAsia="黑体"/>
        </w:rPr>
        <w:t>需求描述</w:t>
      </w:r>
      <w:bookmarkEnd w:id="4"/>
      <w:bookmarkEnd w:id="5"/>
    </w:p>
    <w:p w14:paraId="70940899">
      <w:pPr>
        <w:pStyle w:val="3"/>
        <w:rPr>
          <w:snapToGrid w:val="0"/>
          <w:kern w:val="0"/>
        </w:rPr>
      </w:pPr>
      <w:bookmarkStart w:id="6" w:name="_Toc374005700"/>
      <w:bookmarkStart w:id="7" w:name="_Toc4146"/>
      <w:r>
        <w:rPr>
          <w:rFonts w:hint="eastAsia"/>
          <w:snapToGrid w:val="0"/>
          <w:kern w:val="0"/>
        </w:rPr>
        <w:t>需求目的</w:t>
      </w:r>
      <w:bookmarkEnd w:id="6"/>
      <w:bookmarkEnd w:id="7"/>
    </w:p>
    <w:p w14:paraId="2D3C8344">
      <w:pPr>
        <w:adjustRightInd w:val="0"/>
        <w:spacing w:before="120" w:after="120"/>
        <w:rPr>
          <w:rFonts w:ascii="Arial" w:hAnsi="Arial" w:eastAsia="仿宋_GB2312" w:cs="Arial"/>
          <w:i/>
          <w:color w:val="0000FF"/>
          <w:sz w:val="24"/>
        </w:rPr>
      </w:pPr>
    </w:p>
    <w:p w14:paraId="46652999">
      <w:pPr>
        <w:pStyle w:val="3"/>
        <w:rPr>
          <w:snapToGrid w:val="0"/>
          <w:kern w:val="0"/>
        </w:rPr>
      </w:pPr>
      <w:bookmarkStart w:id="8" w:name="_Toc374005701"/>
      <w:bookmarkStart w:id="9" w:name="_Toc32676"/>
      <w:r>
        <w:rPr>
          <w:rFonts w:hint="eastAsia"/>
          <w:snapToGrid w:val="0"/>
          <w:kern w:val="0"/>
        </w:rPr>
        <w:t>业务需求</w:t>
      </w:r>
      <w:bookmarkEnd w:id="8"/>
      <w:bookmarkEnd w:id="9"/>
    </w:p>
    <w:p w14:paraId="6675B277">
      <w:pPr>
        <w:pStyle w:val="4"/>
        <w:rPr>
          <w:rFonts w:ascii="黑体" w:hAnsi="黑体" w:eastAsia="黑体"/>
        </w:rPr>
      </w:pPr>
      <w:bookmarkStart w:id="10" w:name="_Toc17102"/>
      <w:r>
        <w:rPr>
          <w:rFonts w:hint="eastAsia" w:ascii="黑体" w:hAnsi="黑体" w:eastAsia="黑体"/>
        </w:rPr>
        <w:t>业务原始需求</w:t>
      </w:r>
      <w:bookmarkEnd w:id="10"/>
    </w:p>
    <w:p w14:paraId="13A7FCE9">
      <w:pPr>
        <w:pStyle w:val="4"/>
        <w:rPr>
          <w:rFonts w:ascii="黑体" w:hAnsi="黑体" w:eastAsia="黑体"/>
        </w:rPr>
      </w:pPr>
      <w:bookmarkStart w:id="11" w:name="_Toc24960"/>
      <w:r>
        <w:rPr>
          <w:rFonts w:hint="eastAsia" w:ascii="黑体" w:hAnsi="黑体" w:eastAsia="黑体"/>
        </w:rPr>
        <w:t>交付要求</w:t>
      </w:r>
      <w:bookmarkEnd w:id="11"/>
    </w:p>
    <w:p w14:paraId="117987A3">
      <w:pPr>
        <w:adjustRightInd w:val="0"/>
        <w:spacing w:before="120" w:after="120"/>
        <w:rPr>
          <w:rFonts w:ascii="Arial" w:hAnsi="Arial" w:eastAsia="仿宋_GB2312" w:cs="Arial"/>
          <w:szCs w:val="21"/>
        </w:rPr>
      </w:pPr>
      <w:r>
        <w:rPr>
          <w:rFonts w:hint="eastAsia" w:ascii="Arial" w:hAnsi="Arial" w:eastAsia="仿宋_GB2312" w:cs="Arial"/>
          <w:szCs w:val="21"/>
        </w:rPr>
        <w:t>是否需要操作手册：不需要</w:t>
      </w:r>
    </w:p>
    <w:p w14:paraId="0FD07849">
      <w:pPr>
        <w:adjustRightInd w:val="0"/>
        <w:spacing w:before="120" w:after="120"/>
        <w:rPr>
          <w:rFonts w:ascii="Arial" w:hAnsi="Arial" w:eastAsia="仿宋_GB2312" w:cs="Arial"/>
          <w:szCs w:val="21"/>
        </w:rPr>
      </w:pPr>
      <w:r>
        <w:rPr>
          <w:rFonts w:hint="eastAsia" w:ascii="Arial" w:hAnsi="Arial" w:eastAsia="仿宋_GB2312" w:cs="Arial"/>
          <w:szCs w:val="21"/>
        </w:rPr>
        <w:t>是否需要验收：需要</w:t>
      </w:r>
    </w:p>
    <w:p w14:paraId="577677FB">
      <w:pPr>
        <w:adjustRightInd w:val="0"/>
        <w:spacing w:before="120" w:after="120"/>
        <w:rPr>
          <w:rFonts w:ascii="Arial" w:hAnsi="Arial" w:eastAsia="仿宋_GB2312" w:cs="Arial"/>
          <w:szCs w:val="21"/>
        </w:rPr>
      </w:pPr>
      <w:r>
        <w:rPr>
          <w:rFonts w:hint="eastAsia" w:ascii="Arial" w:hAnsi="Arial" w:eastAsia="仿宋_GB2312" w:cs="Arial"/>
          <w:szCs w:val="21"/>
        </w:rPr>
        <w:t>是否需要用户体验验收：需要</w:t>
      </w:r>
    </w:p>
    <w:p w14:paraId="7B4CA63E">
      <w:pPr>
        <w:adjustRightInd w:val="0"/>
        <w:spacing w:before="120" w:after="120"/>
        <w:rPr>
          <w:rFonts w:hint="default" w:ascii="Arial" w:hAnsi="Arial" w:eastAsia="仿宋_GB2312" w:cs="Arial"/>
          <w:szCs w:val="21"/>
          <w:lang w:val="en-US" w:eastAsia="zh-CN"/>
        </w:rPr>
      </w:pPr>
      <w:r>
        <w:rPr>
          <w:rFonts w:hint="eastAsia" w:ascii="Arial" w:hAnsi="Arial" w:eastAsia="仿宋_GB2312" w:cs="Arial"/>
          <w:szCs w:val="21"/>
        </w:rPr>
        <w:t>需求类别：</w:t>
      </w:r>
      <w:r>
        <w:rPr>
          <w:rFonts w:hint="eastAsia" w:ascii="Arial" w:hAnsi="Arial" w:eastAsia="仿宋_GB2312" w:cs="Arial"/>
          <w:szCs w:val="21"/>
          <w:lang w:val="en-US" w:eastAsia="zh-CN"/>
        </w:rPr>
        <w:t>业务发展</w:t>
      </w:r>
    </w:p>
    <w:p w14:paraId="37C62AB5">
      <w:pPr>
        <w:adjustRightInd w:val="0"/>
        <w:spacing w:before="120" w:after="120"/>
        <w:rPr>
          <w:rFonts w:ascii="Arial" w:hAnsi="Arial" w:eastAsia="仿宋_GB2312" w:cs="Arial"/>
          <w:szCs w:val="21"/>
        </w:rPr>
      </w:pPr>
      <w:r>
        <w:rPr>
          <w:rFonts w:hint="eastAsia" w:ascii="Arial" w:hAnsi="Arial" w:eastAsia="仿宋_GB2312" w:cs="Arial"/>
          <w:szCs w:val="21"/>
        </w:rPr>
        <w:t>计划上线时间：</w:t>
      </w:r>
    </w:p>
    <w:p w14:paraId="0607788A">
      <w:pPr>
        <w:adjustRightInd w:val="0"/>
        <w:spacing w:before="120" w:after="120"/>
        <w:rPr>
          <w:rFonts w:hint="default" w:ascii="Arial" w:hAnsi="Arial" w:eastAsia="仿宋_GB2312" w:cs="Arial"/>
          <w:szCs w:val="21"/>
          <w:lang w:val="en-US" w:eastAsia="zh-CN"/>
        </w:rPr>
      </w:pPr>
      <w:r>
        <w:rPr>
          <w:rFonts w:hint="eastAsia" w:ascii="Arial" w:hAnsi="Arial" w:eastAsia="仿宋_GB2312" w:cs="Arial"/>
          <w:szCs w:val="21"/>
        </w:rPr>
        <w:t>公告栏内容：</w:t>
      </w:r>
      <w:r>
        <w:rPr>
          <w:rFonts w:hint="eastAsia" w:ascii="Arial" w:hAnsi="Arial" w:eastAsia="仿宋_GB2312" w:cs="Arial"/>
          <w:szCs w:val="21"/>
          <w:lang w:val="en-US" w:eastAsia="zh-CN"/>
        </w:rPr>
        <w:t>AI医疗发票、清单识别，并自动扣费。</w:t>
      </w:r>
    </w:p>
    <w:p w14:paraId="667FDC1E">
      <w:pPr>
        <w:pStyle w:val="3"/>
        <w:rPr>
          <w:snapToGrid w:val="0"/>
          <w:kern w:val="0"/>
        </w:rPr>
      </w:pPr>
      <w:bookmarkStart w:id="12" w:name="_Toc14021"/>
      <w:bookmarkStart w:id="13" w:name="_Toc374005702"/>
      <w:r>
        <w:rPr>
          <w:rFonts w:hint="eastAsia"/>
          <w:snapToGrid w:val="0"/>
          <w:kern w:val="0"/>
        </w:rPr>
        <w:t>业务流程</w:t>
      </w:r>
      <w:bookmarkEnd w:id="12"/>
      <w:bookmarkEnd w:id="13"/>
    </w:p>
    <w:p w14:paraId="290FC698">
      <w:pPr>
        <w:pStyle w:val="2"/>
        <w:numPr>
          <w:ilvl w:val="0"/>
          <w:numId w:val="2"/>
        </w:numPr>
        <w:rPr>
          <w:rFonts w:ascii="黑体" w:hAnsi="黑体" w:eastAsia="黑体"/>
        </w:rPr>
      </w:pPr>
      <w:bookmarkStart w:id="14" w:name="_Toc9495"/>
      <w:bookmarkStart w:id="15" w:name="_Toc374005703"/>
      <w:r>
        <w:rPr>
          <w:rFonts w:hint="eastAsia" w:ascii="黑体" w:hAnsi="黑体" w:eastAsia="黑体"/>
        </w:rPr>
        <w:t>功能性需求</w:t>
      </w:r>
      <w:bookmarkEnd w:id="14"/>
      <w:bookmarkEnd w:id="15"/>
    </w:p>
    <w:p w14:paraId="73E04B8B">
      <w:pPr>
        <w:pStyle w:val="3"/>
        <w:rPr>
          <w:snapToGrid w:val="0"/>
          <w:kern w:val="0"/>
        </w:rPr>
      </w:pPr>
      <w:bookmarkStart w:id="16" w:name="_Toc18737"/>
      <w:r>
        <w:rPr>
          <w:rFonts w:hint="eastAsia"/>
          <w:snapToGrid w:val="0"/>
          <w:kern w:val="0"/>
        </w:rPr>
        <w:t>需求</w:t>
      </w:r>
      <w:r>
        <w:rPr>
          <w:rFonts w:hint="eastAsia"/>
          <w:snapToGrid w:val="0"/>
          <w:kern w:val="0"/>
          <w:lang w:val="en-US" w:eastAsia="zh-CN"/>
        </w:rPr>
        <w:t>1车险理赔系统</w:t>
      </w:r>
      <w:bookmarkEnd w:id="16"/>
      <w:r>
        <w:rPr>
          <w:rFonts w:hint="eastAsia"/>
          <w:snapToGrid w:val="0"/>
          <w:kern w:val="0"/>
          <w:lang w:val="en-US" w:eastAsia="zh-CN"/>
        </w:rPr>
        <w:t xml:space="preserve"> </w:t>
      </w:r>
    </w:p>
    <w:p w14:paraId="5DBA80B9">
      <w:pPr>
        <w:pStyle w:val="4"/>
        <w:rPr>
          <w:rFonts w:ascii="黑体" w:hAnsi="黑体" w:eastAsia="黑体"/>
        </w:rPr>
      </w:pPr>
      <w:bookmarkStart w:id="17" w:name="_Toc9055"/>
      <w:r>
        <w:rPr>
          <w:rFonts w:hint="eastAsia" w:ascii="黑体" w:hAnsi="黑体" w:eastAsia="黑体"/>
        </w:rPr>
        <w:t>功能描述</w:t>
      </w:r>
      <w:bookmarkEnd w:id="17"/>
    </w:p>
    <w:p w14:paraId="5C4EC7DD">
      <w:pPr>
        <w:rPr>
          <w:rFonts w:hint="default" w:eastAsia="黑体"/>
          <w:lang w:val="en-US" w:eastAsia="zh-CN"/>
        </w:rPr>
      </w:pPr>
      <w:r>
        <w:rPr>
          <w:rFonts w:hint="eastAsia" w:ascii="黑体" w:hAnsi="黑体" w:eastAsia="黑体"/>
          <w:lang w:val="en-US" w:eastAsia="zh-CN"/>
        </w:rPr>
        <w:t>医疗费计算公式优化。</w:t>
      </w:r>
    </w:p>
    <w:p w14:paraId="2435F399">
      <w:pPr>
        <w:pStyle w:val="4"/>
        <w:rPr>
          <w:rFonts w:ascii="黑体" w:hAnsi="黑体" w:eastAsia="黑体"/>
        </w:rPr>
      </w:pPr>
      <w:bookmarkStart w:id="18" w:name="_Toc18000"/>
      <w:r>
        <w:rPr>
          <w:rFonts w:hint="eastAsia" w:ascii="黑体" w:hAnsi="黑体" w:eastAsia="黑体"/>
        </w:rPr>
        <w:t>业务规则/算法</w:t>
      </w:r>
      <w:bookmarkEnd w:id="18"/>
    </w:p>
    <w:p w14:paraId="21D2C212">
      <w:pPr>
        <w:pStyle w:val="4"/>
        <w:numPr>
          <w:ilvl w:val="3"/>
          <w:numId w:val="1"/>
        </w:numPr>
        <w:rPr>
          <w:rFonts w:ascii="黑体" w:hAnsi="黑体" w:eastAsia="黑体"/>
        </w:rPr>
      </w:pPr>
      <w:bookmarkStart w:id="19" w:name="_Toc31296"/>
      <w:r>
        <w:rPr>
          <w:rFonts w:hint="eastAsia" w:ascii="黑体" w:hAnsi="黑体" w:eastAsia="黑体"/>
          <w:lang w:val="en-US" w:eastAsia="zh-CN"/>
        </w:rPr>
        <w:t>人伤跟踪各阶段/人伤跟踪各阶段审核</w:t>
      </w:r>
      <w:bookmarkEnd w:id="19"/>
    </w:p>
    <w:p w14:paraId="414B1AE5">
      <w:pPr>
        <w:numPr>
          <w:ilvl w:val="0"/>
          <w:numId w:val="3"/>
        </w:numPr>
        <w:rPr>
          <w:rFonts w:hint="default"/>
          <w:lang w:val="en-US"/>
        </w:rPr>
      </w:pPr>
      <w:r>
        <w:rPr>
          <w:rFonts w:hint="eastAsia"/>
          <w:lang w:val="en-US" w:eastAsia="zh-CN"/>
        </w:rPr>
        <w:t xml:space="preserve"> 医药费计算公式调整</w:t>
      </w:r>
    </w:p>
    <w:p w14:paraId="0BF74C70">
      <w:pPr>
        <w:numPr>
          <w:ilvl w:val="1"/>
          <w:numId w:val="4"/>
        </w:numPr>
        <w:ind w:left="840" w:leftChars="0" w:hanging="420" w:firstLineChars="0"/>
        <w:rPr>
          <w:rFonts w:hint="default"/>
          <w:lang w:val="en-US" w:eastAsia="zh-CN"/>
        </w:rPr>
      </w:pPr>
      <w:r>
        <w:rPr>
          <w:rFonts w:hint="eastAsia"/>
          <w:lang w:val="en-US" w:eastAsia="zh-CN"/>
        </w:rPr>
        <w:t>医药费计算公式由</w:t>
      </w:r>
    </w:p>
    <w:p w14:paraId="5D8D4AE5">
      <w:pPr>
        <w:numPr>
          <w:ilvl w:val="0"/>
          <w:numId w:val="0"/>
        </w:numPr>
        <w:ind w:left="420" w:leftChars="0"/>
        <w:rPr>
          <w:rFonts w:hint="eastAsia"/>
          <w:b/>
          <w:bCs/>
          <w:lang w:val="en-US" w:eastAsia="zh-CN"/>
        </w:rPr>
      </w:pPr>
      <w:r>
        <w:rPr>
          <w:rFonts w:hint="eastAsia"/>
          <w:b/>
          <w:bCs/>
          <w:lang w:val="en-US" w:eastAsia="zh-CN"/>
        </w:rPr>
        <w:t>当前：</w:t>
      </w:r>
    </w:p>
    <w:p w14:paraId="754E6E57">
      <w:pPr>
        <w:numPr>
          <w:ilvl w:val="0"/>
          <w:numId w:val="5"/>
        </w:numPr>
        <w:ind w:left="840" w:leftChars="0" w:hanging="420" w:firstLineChars="0"/>
        <w:rPr>
          <w:rFonts w:hint="eastAsia"/>
          <w:lang w:val="en-US" w:eastAsia="zh-CN"/>
        </w:rPr>
      </w:pPr>
      <w:r>
        <w:rPr>
          <w:rFonts w:hint="eastAsia"/>
          <w:highlight w:val="yellow"/>
          <w:lang w:val="en-US" w:eastAsia="zh-CN"/>
        </w:rPr>
        <w:t>伤者类型有对应</w:t>
      </w:r>
      <w:r>
        <w:rPr>
          <w:rFonts w:hint="eastAsia"/>
          <w:lang w:val="en-US" w:eastAsia="zh-CN"/>
        </w:rPr>
        <w:t>医保外附加险的，医疗费公式：</w:t>
      </w:r>
    </w:p>
    <w:p w14:paraId="468681E4">
      <w:pPr>
        <w:numPr>
          <w:ilvl w:val="0"/>
          <w:numId w:val="0"/>
        </w:numPr>
        <w:ind w:left="420" w:leftChars="0"/>
        <w:rPr>
          <w:rFonts w:hint="eastAsia"/>
          <w:lang w:val="en-US" w:eastAsia="zh-CN"/>
        </w:rPr>
      </w:pPr>
      <w:r>
        <w:rPr>
          <w:rFonts w:hint="eastAsia"/>
          <w:lang w:val="en-US" w:eastAsia="zh-CN"/>
        </w:rPr>
        <w:t>（发票金额）/元-（</w:t>
      </w:r>
      <w:r>
        <w:rPr>
          <w:rFonts w:hint="eastAsia"/>
          <w:color w:val="0000FF"/>
          <w:lang w:val="en-US" w:eastAsia="zh-CN"/>
        </w:rPr>
        <w:t>医保外用药金额</w:t>
      </w:r>
      <w:r>
        <w:rPr>
          <w:rFonts w:hint="eastAsia"/>
          <w:lang w:val="en-US" w:eastAsia="zh-CN"/>
        </w:rPr>
        <w:t>）/元-（</w:t>
      </w:r>
      <w:r>
        <w:rPr>
          <w:rFonts w:hint="eastAsia"/>
          <w:color w:val="0000FF"/>
          <w:lang w:val="en-US" w:eastAsia="zh-CN"/>
        </w:rPr>
        <w:t>无关用药金额</w:t>
      </w:r>
      <w:r>
        <w:rPr>
          <w:rFonts w:hint="eastAsia"/>
          <w:lang w:val="en-US" w:eastAsia="zh-CN"/>
        </w:rPr>
        <w:t>）/元+（</w:t>
      </w:r>
      <w:r>
        <w:rPr>
          <w:rFonts w:hint="eastAsia"/>
          <w:color w:val="0000FF"/>
          <w:lang w:val="en-US" w:eastAsia="zh-CN"/>
        </w:rPr>
        <w:t>医保外用药金额</w:t>
      </w:r>
      <w:r>
        <w:rPr>
          <w:rFonts w:hint="eastAsia"/>
          <w:lang w:val="en-US" w:eastAsia="zh-CN"/>
        </w:rPr>
        <w:t>）/元</w:t>
      </w:r>
    </w:p>
    <w:p w14:paraId="109CB74C">
      <w:pPr>
        <w:numPr>
          <w:ilvl w:val="0"/>
          <w:numId w:val="5"/>
        </w:numPr>
        <w:ind w:left="840" w:leftChars="0" w:hanging="420" w:firstLineChars="0"/>
        <w:rPr>
          <w:rFonts w:hint="eastAsia"/>
          <w:lang w:val="en-US" w:eastAsia="zh-CN"/>
        </w:rPr>
      </w:pPr>
      <w:r>
        <w:rPr>
          <w:rFonts w:hint="eastAsia"/>
          <w:highlight w:val="yellow"/>
          <w:lang w:val="en-US" w:eastAsia="zh-CN"/>
        </w:rPr>
        <w:t>伤者类型没有对应</w:t>
      </w:r>
      <w:r>
        <w:rPr>
          <w:rFonts w:hint="eastAsia"/>
          <w:lang w:val="en-US" w:eastAsia="zh-CN"/>
        </w:rPr>
        <w:t>医保外附加险的，医疗费公式：</w:t>
      </w:r>
    </w:p>
    <w:p w14:paraId="6BA905CF">
      <w:pPr>
        <w:numPr>
          <w:ilvl w:val="0"/>
          <w:numId w:val="0"/>
        </w:numPr>
        <w:ind w:left="420" w:leftChars="0"/>
        <w:rPr>
          <w:rFonts w:hint="eastAsia"/>
          <w:lang w:val="en-US" w:eastAsia="zh-CN"/>
        </w:rPr>
      </w:pPr>
      <w:r>
        <w:rPr>
          <w:rFonts w:hint="eastAsia"/>
          <w:lang w:val="en-US" w:eastAsia="zh-CN"/>
        </w:rPr>
        <w:t>（发票金额）/元-（</w:t>
      </w:r>
      <w:r>
        <w:rPr>
          <w:rFonts w:hint="eastAsia"/>
          <w:color w:val="0000FF"/>
          <w:lang w:val="en-US" w:eastAsia="zh-CN"/>
        </w:rPr>
        <w:t>医保外用药金额</w:t>
      </w:r>
      <w:r>
        <w:rPr>
          <w:rFonts w:hint="eastAsia"/>
          <w:lang w:val="en-US" w:eastAsia="zh-CN"/>
        </w:rPr>
        <w:t>）/元-（</w:t>
      </w:r>
      <w:r>
        <w:rPr>
          <w:rFonts w:hint="eastAsia"/>
          <w:color w:val="0000FF"/>
          <w:lang w:val="en-US" w:eastAsia="zh-CN"/>
        </w:rPr>
        <w:t>无关用药金额</w:t>
      </w:r>
      <w:r>
        <w:rPr>
          <w:rFonts w:hint="eastAsia"/>
          <w:lang w:val="en-US" w:eastAsia="zh-CN"/>
        </w:rPr>
        <w:t>）/元</w:t>
      </w:r>
    </w:p>
    <w:p w14:paraId="57369E2A">
      <w:pPr>
        <w:numPr>
          <w:ilvl w:val="0"/>
          <w:numId w:val="0"/>
        </w:numPr>
        <w:ind w:left="420" w:leftChars="0"/>
        <w:rPr>
          <w:rFonts w:hint="eastAsia"/>
          <w:b/>
          <w:bCs/>
          <w:lang w:val="en-US" w:eastAsia="zh-CN"/>
        </w:rPr>
      </w:pPr>
      <w:r>
        <w:rPr>
          <w:rFonts w:hint="eastAsia"/>
          <w:b/>
          <w:bCs/>
          <w:lang w:val="en-US" w:eastAsia="zh-CN"/>
        </w:rPr>
        <w:t>调整为：</w:t>
      </w:r>
    </w:p>
    <w:p w14:paraId="673DA255">
      <w:pPr>
        <w:numPr>
          <w:ilvl w:val="0"/>
          <w:numId w:val="5"/>
        </w:numPr>
        <w:ind w:left="840" w:leftChars="0" w:hanging="420" w:firstLineChars="0"/>
        <w:rPr>
          <w:rFonts w:hint="default"/>
          <w:lang w:val="en-US" w:eastAsia="zh-CN"/>
        </w:rPr>
      </w:pPr>
      <w:r>
        <w:rPr>
          <w:rFonts w:hint="eastAsia"/>
          <w:highlight w:val="yellow"/>
          <w:lang w:val="en-US" w:eastAsia="zh-CN"/>
        </w:rPr>
        <w:t>伤者类型有对应</w:t>
      </w:r>
      <w:r>
        <w:rPr>
          <w:rFonts w:hint="default"/>
          <w:lang w:val="en-US" w:eastAsia="zh-CN"/>
        </w:rPr>
        <w:t>医保外附加险的（</w:t>
      </w:r>
      <w:r>
        <w:rPr>
          <w:rFonts w:hint="default"/>
          <w:color w:val="auto"/>
          <w:lang w:val="en-US" w:eastAsia="zh-CN"/>
        </w:rPr>
        <w:t>伤者类型与附加险对应</w:t>
      </w:r>
      <w:r>
        <w:rPr>
          <w:rFonts w:hint="default"/>
          <w:lang w:val="en-US" w:eastAsia="zh-CN"/>
        </w:rPr>
        <w:t>），医疗费公式：</w:t>
      </w:r>
    </w:p>
    <w:p w14:paraId="1A88077D">
      <w:pPr>
        <w:numPr>
          <w:ilvl w:val="0"/>
          <w:numId w:val="0"/>
        </w:numPr>
        <w:ind w:left="420" w:leftChars="0"/>
        <w:rPr>
          <w:rFonts w:hint="default"/>
          <w:lang w:val="en-US" w:eastAsia="zh-CN"/>
        </w:rPr>
      </w:pPr>
      <w:r>
        <w:rPr>
          <w:rFonts w:hint="default"/>
          <w:lang w:val="en-US" w:eastAsia="zh-CN"/>
        </w:rPr>
        <w:t>（发票金额）/元-（</w:t>
      </w:r>
      <w:r>
        <w:rPr>
          <w:rFonts w:hint="default"/>
          <w:color w:val="0000FF"/>
          <w:lang w:val="en-US" w:eastAsia="zh-CN"/>
        </w:rPr>
        <w:t>非医保金额</w:t>
      </w:r>
      <w:r>
        <w:rPr>
          <w:rFonts w:hint="default"/>
          <w:lang w:val="en-US" w:eastAsia="zh-CN"/>
        </w:rPr>
        <w:t>）/元-（</w:t>
      </w:r>
      <w:r>
        <w:rPr>
          <w:rFonts w:hint="eastAsia"/>
          <w:color w:val="FF0000"/>
          <w:highlight w:val="yellow"/>
          <w:lang w:val="en-US" w:eastAsia="zh-CN"/>
        </w:rPr>
        <w:t>无关用药金额</w:t>
      </w:r>
      <w:r>
        <w:rPr>
          <w:rFonts w:hint="default"/>
          <w:lang w:val="en-US" w:eastAsia="zh-CN"/>
        </w:rPr>
        <w:t>）/元+（</w:t>
      </w:r>
      <w:r>
        <w:rPr>
          <w:rFonts w:hint="default"/>
          <w:color w:val="0000FF"/>
          <w:lang w:val="en-US" w:eastAsia="zh-CN"/>
        </w:rPr>
        <w:t>附加医保外医疗金额</w:t>
      </w:r>
      <w:r>
        <w:rPr>
          <w:rFonts w:hint="default"/>
          <w:lang w:val="en-US" w:eastAsia="zh-CN"/>
        </w:rPr>
        <w:t>）/元</w:t>
      </w:r>
    </w:p>
    <w:p w14:paraId="70120E9A">
      <w:pPr>
        <w:numPr>
          <w:ilvl w:val="0"/>
          <w:numId w:val="5"/>
        </w:numPr>
        <w:ind w:left="840" w:leftChars="0" w:hanging="420" w:firstLineChars="0"/>
        <w:rPr>
          <w:rFonts w:hint="default"/>
          <w:lang w:val="en-US" w:eastAsia="zh-CN"/>
        </w:rPr>
      </w:pPr>
      <w:r>
        <w:rPr>
          <w:rFonts w:hint="eastAsia"/>
          <w:highlight w:val="yellow"/>
          <w:lang w:val="en-US" w:eastAsia="zh-CN"/>
        </w:rPr>
        <w:t>伤者类型没有对应</w:t>
      </w:r>
      <w:r>
        <w:rPr>
          <w:rFonts w:hint="default"/>
          <w:lang w:val="en-US" w:eastAsia="zh-CN"/>
        </w:rPr>
        <w:t>医保外附加险的（</w:t>
      </w:r>
      <w:r>
        <w:rPr>
          <w:rFonts w:hint="default"/>
          <w:color w:val="auto"/>
          <w:lang w:val="en-US" w:eastAsia="zh-CN"/>
        </w:rPr>
        <w:t>伤者类型与附加险对应</w:t>
      </w:r>
      <w:r>
        <w:rPr>
          <w:rFonts w:hint="default"/>
          <w:lang w:val="en-US" w:eastAsia="zh-CN"/>
        </w:rPr>
        <w:t>），医疗费公式：</w:t>
      </w:r>
    </w:p>
    <w:p w14:paraId="5D32B0B8">
      <w:pPr>
        <w:numPr>
          <w:ilvl w:val="0"/>
          <w:numId w:val="0"/>
        </w:numPr>
        <w:ind w:left="420" w:leftChars="0"/>
        <w:rPr>
          <w:rFonts w:hint="eastAsia"/>
          <w:lang w:val="en-US" w:eastAsia="zh-CN"/>
        </w:rPr>
      </w:pPr>
      <w:r>
        <w:rPr>
          <w:rFonts w:hint="default"/>
          <w:lang w:val="en-US" w:eastAsia="zh-CN"/>
        </w:rPr>
        <w:t>（发票金额）/元-（</w:t>
      </w:r>
      <w:r>
        <w:rPr>
          <w:rFonts w:hint="default"/>
          <w:color w:val="0000FF"/>
          <w:lang w:val="en-US" w:eastAsia="zh-CN"/>
        </w:rPr>
        <w:t>非医保金额</w:t>
      </w:r>
      <w:r>
        <w:rPr>
          <w:rFonts w:hint="default"/>
          <w:lang w:val="en-US" w:eastAsia="zh-CN"/>
        </w:rPr>
        <w:t>）/元-（</w:t>
      </w:r>
      <w:r>
        <w:rPr>
          <w:rFonts w:hint="eastAsia"/>
          <w:color w:val="FF0000"/>
          <w:highlight w:val="yellow"/>
          <w:lang w:val="en-US" w:eastAsia="zh-CN"/>
        </w:rPr>
        <w:t>无关用药金额</w:t>
      </w:r>
      <w:r>
        <w:rPr>
          <w:rFonts w:hint="default"/>
          <w:lang w:val="en-US" w:eastAsia="zh-CN"/>
        </w:rPr>
        <w:t>）/元。公式不变，仅变更名称</w:t>
      </w:r>
      <w:r>
        <w:rPr>
          <w:rFonts w:hint="eastAsia"/>
          <w:lang w:val="en-US" w:eastAsia="zh-CN"/>
        </w:rPr>
        <w:t>。</w:t>
      </w:r>
    </w:p>
    <w:p w14:paraId="54EA022A">
      <w:pPr>
        <w:numPr>
          <w:ilvl w:val="1"/>
          <w:numId w:val="4"/>
        </w:numPr>
        <w:ind w:left="840" w:leftChars="0" w:hanging="420" w:firstLineChars="0"/>
        <w:rPr>
          <w:rFonts w:hint="default"/>
          <w:lang w:val="en-US" w:eastAsia="zh-CN"/>
        </w:rPr>
      </w:pPr>
      <w:r>
        <w:rPr>
          <w:rFonts w:hint="eastAsia"/>
          <w:lang w:val="en-US" w:eastAsia="zh-CN"/>
        </w:rPr>
        <w:t>传平台时附加医保外用药金额取</w:t>
      </w:r>
      <w:r>
        <w:rPr>
          <w:rFonts w:hint="eastAsia"/>
          <w:color w:val="0000FF"/>
          <w:u w:val="single"/>
          <w:lang w:val="en-US" w:eastAsia="zh-CN"/>
        </w:rPr>
        <w:t>附加医保外医疗金额</w:t>
      </w:r>
      <w:r>
        <w:rPr>
          <w:rFonts w:hint="eastAsia"/>
          <w:lang w:val="en-US" w:eastAsia="zh-CN"/>
        </w:rPr>
        <w:t>上传。</w:t>
      </w:r>
    </w:p>
    <w:p w14:paraId="7E816918">
      <w:pPr>
        <w:numPr>
          <w:ilvl w:val="1"/>
          <w:numId w:val="4"/>
        </w:numPr>
        <w:ind w:left="840" w:leftChars="0" w:hanging="420" w:firstLineChars="0"/>
        <w:rPr>
          <w:rFonts w:hint="default"/>
          <w:color w:val="FF0000"/>
          <w:lang w:val="en-US" w:eastAsia="zh-CN"/>
        </w:rPr>
      </w:pPr>
      <w:r>
        <w:rPr>
          <w:rFonts w:hint="default"/>
          <w:color w:val="FF0000"/>
          <w:lang w:val="en-US" w:eastAsia="zh-CN"/>
        </w:rPr>
        <w:t>附加医保外医疗金额的金额控制适用在所有人伤跟踪</w:t>
      </w:r>
      <w:r>
        <w:rPr>
          <w:rFonts w:hint="eastAsia"/>
          <w:color w:val="FF0000"/>
          <w:lang w:val="en-US" w:eastAsia="zh-CN"/>
        </w:rPr>
        <w:t>（含发起的人伤调查）</w:t>
      </w:r>
      <w:r>
        <w:rPr>
          <w:rFonts w:hint="default"/>
          <w:color w:val="FF0000"/>
          <w:lang w:val="en-US" w:eastAsia="zh-CN"/>
        </w:rPr>
        <w:t>阶段</w:t>
      </w:r>
      <w:r>
        <w:rPr>
          <w:rFonts w:hint="eastAsia"/>
          <w:color w:val="FF0000"/>
          <w:lang w:val="en-US" w:eastAsia="zh-CN"/>
        </w:rPr>
        <w:t>，控制为：</w:t>
      </w:r>
      <w:r>
        <w:rPr>
          <w:rFonts w:hint="eastAsia"/>
          <w:color w:val="FF0000"/>
          <w:highlight w:val="yellow"/>
          <w:u w:val="single"/>
          <w:lang w:val="en-US" w:eastAsia="zh-CN"/>
        </w:rPr>
        <w:t>附加医保外用药金额默认=非医保金额，</w:t>
      </w:r>
      <w:r>
        <w:rPr>
          <w:rFonts w:hint="eastAsia"/>
          <w:color w:val="FF0000"/>
          <w:lang w:val="en-US" w:eastAsia="zh-CN"/>
        </w:rPr>
        <w:t>可修改，修改范围为[0,非医保金额]</w:t>
      </w:r>
    </w:p>
    <w:p w14:paraId="3A4D20F7">
      <w:pPr>
        <w:numPr>
          <w:ilvl w:val="0"/>
          <w:numId w:val="0"/>
        </w:numPr>
        <w:rPr>
          <w:rFonts w:hint="eastAsia"/>
          <w:color w:val="FF0000"/>
          <w:lang w:val="en-US" w:eastAsia="zh-CN"/>
        </w:rPr>
      </w:pPr>
      <w:r>
        <w:rPr>
          <w:rFonts w:hint="eastAsia"/>
          <w:color w:val="FF0000"/>
          <w:lang w:val="en-US" w:eastAsia="zh-CN"/>
        </w:rPr>
        <w:t>7月21日补充说明：</w:t>
      </w:r>
    </w:p>
    <w:p w14:paraId="426A1120">
      <w:pPr>
        <w:numPr>
          <w:ilvl w:val="0"/>
          <w:numId w:val="0"/>
        </w:numPr>
        <w:rPr>
          <w:rFonts w:hint="eastAsia"/>
          <w:color w:val="FF0000"/>
          <w:lang w:val="en-US" w:eastAsia="zh-CN"/>
        </w:rPr>
      </w:pPr>
      <w:r>
        <w:rPr>
          <w:rFonts w:hint="eastAsia"/>
          <w:color w:val="FF0000"/>
          <w:lang w:val="en-US" w:eastAsia="zh-CN"/>
        </w:rPr>
        <w:t>①关于跟踪类发起的人伤专项调查任务，也涉及到医疗费用公式，调整点同上述描述。</w:t>
      </w:r>
    </w:p>
    <w:p w14:paraId="010734A4">
      <w:pPr>
        <w:numPr>
          <w:ilvl w:val="0"/>
          <w:numId w:val="0"/>
        </w:numPr>
        <w:rPr>
          <w:rFonts w:hint="default"/>
          <w:color w:val="FF0000"/>
          <w:lang w:val="en-US" w:eastAsia="zh-CN"/>
        </w:rPr>
      </w:pPr>
      <w:r>
        <w:rPr>
          <w:rFonts w:hint="eastAsia"/>
          <w:color w:val="FF0000"/>
          <w:lang w:val="en-US" w:eastAsia="zh-CN"/>
        </w:rPr>
        <w:t>②关于诉讼，人伤费用的医疗费公式，也同步按上述调整。</w:t>
      </w:r>
    </w:p>
    <w:p w14:paraId="5D9C7DDD">
      <w:pPr>
        <w:numPr>
          <w:ilvl w:val="0"/>
          <w:numId w:val="0"/>
        </w:numPr>
        <w:ind w:left="420" w:leftChars="0"/>
        <w:rPr>
          <w:rFonts w:hint="default"/>
          <w:lang w:val="en-US" w:eastAsia="zh-CN"/>
        </w:rPr>
      </w:pPr>
      <w:r>
        <w:rPr>
          <w:rFonts w:ascii="Microsoft YaHei UI" w:hAnsi="Microsoft YaHei UI" w:eastAsia="Microsoft YaHei UI" w:cs="Microsoft YaHei UI"/>
          <w:i w:val="0"/>
          <w:iCs w:val="0"/>
          <w:caps w:val="0"/>
          <w:color w:val="000000"/>
          <w:spacing w:val="0"/>
          <w:sz w:val="24"/>
          <w:szCs w:val="24"/>
        </w:rPr>
        <w:drawing>
          <wp:inline distT="0" distB="0" distL="114300" distR="114300">
            <wp:extent cx="4608195" cy="2365375"/>
            <wp:effectExtent l="0" t="0" r="1905" b="15875"/>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8"/>
                    <a:stretch>
                      <a:fillRect/>
                    </a:stretch>
                  </pic:blipFill>
                  <pic:spPr>
                    <a:xfrm>
                      <a:off x="0" y="0"/>
                      <a:ext cx="4608195" cy="2365375"/>
                    </a:xfrm>
                    <a:prstGeom prst="rect">
                      <a:avLst/>
                    </a:prstGeom>
                    <a:noFill/>
                    <a:ln w="9525">
                      <a:noFill/>
                    </a:ln>
                  </pic:spPr>
                </pic:pic>
              </a:graphicData>
            </a:graphic>
          </wp:inline>
        </w:drawing>
      </w:r>
    </w:p>
    <w:p w14:paraId="01EAB3EF">
      <w:pPr>
        <w:numPr>
          <w:ilvl w:val="0"/>
          <w:numId w:val="4"/>
        </w:numPr>
        <w:rPr>
          <w:rFonts w:hint="default"/>
          <w:lang w:val="en-US"/>
        </w:rPr>
      </w:pPr>
      <w:r>
        <w:rPr>
          <w:rFonts w:hint="eastAsia"/>
          <w:lang w:val="en-US" w:eastAsia="zh-CN"/>
        </w:rPr>
        <w:t>当前案件保单有AI医疗费识别结果：</w:t>
      </w:r>
    </w:p>
    <w:p w14:paraId="0D38C494">
      <w:pPr>
        <w:numPr>
          <w:ilvl w:val="0"/>
          <w:numId w:val="0"/>
        </w:numPr>
      </w:pPr>
      <w:r>
        <w:drawing>
          <wp:inline distT="0" distB="0" distL="114300" distR="114300">
            <wp:extent cx="5267960" cy="781050"/>
            <wp:effectExtent l="9525" t="9525" r="18415" b="9525"/>
            <wp:docPr id="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4"/>
                    <pic:cNvPicPr>
                      <a:picLocks noChangeAspect="1"/>
                    </pic:cNvPicPr>
                  </pic:nvPicPr>
                  <pic:blipFill>
                    <a:blip r:embed="rId9"/>
                    <a:stretch>
                      <a:fillRect/>
                    </a:stretch>
                  </pic:blipFill>
                  <pic:spPr>
                    <a:xfrm>
                      <a:off x="0" y="0"/>
                      <a:ext cx="5267960" cy="781050"/>
                    </a:xfrm>
                    <a:prstGeom prst="rect">
                      <a:avLst/>
                    </a:prstGeom>
                    <a:noFill/>
                    <a:ln>
                      <a:solidFill>
                        <a:srgbClr val="0000FF"/>
                      </a:solidFill>
                    </a:ln>
                  </pic:spPr>
                </pic:pic>
              </a:graphicData>
            </a:graphic>
          </wp:inline>
        </w:drawing>
      </w:r>
    </w:p>
    <w:p w14:paraId="3CF5CE5E">
      <w:pPr>
        <w:numPr>
          <w:ilvl w:val="0"/>
          <w:numId w:val="0"/>
        </w:numPr>
        <w:rPr>
          <w:rFonts w:hint="default" w:eastAsia="宋体"/>
          <w:color w:val="FF0000"/>
          <w:lang w:val="en-US" w:eastAsia="zh-CN"/>
        </w:rPr>
      </w:pPr>
      <w:r>
        <w:rPr>
          <w:rFonts w:hint="eastAsia"/>
          <w:color w:val="FF0000"/>
          <w:lang w:val="en-US" w:eastAsia="zh-CN"/>
        </w:rPr>
        <w:t>7月21日补充说明：为保持页面名称一致性，上图中“医保外用药金额”更名为“非医保金额”，</w:t>
      </w:r>
      <w:r>
        <w:rPr>
          <w:rFonts w:hint="eastAsia"/>
          <w:color w:val="FF0000"/>
          <w:highlight w:val="yellow"/>
          <w:lang w:val="en-US" w:eastAsia="zh-CN"/>
        </w:rPr>
        <w:t>“发票总金额”更名为“发票金额“（增加）</w:t>
      </w:r>
    </w:p>
    <w:p w14:paraId="5DB3E89C">
      <w:pPr>
        <w:numPr>
          <w:ilvl w:val="0"/>
          <w:numId w:val="0"/>
        </w:numPr>
        <w:ind w:left="420" w:leftChars="0"/>
        <w:rPr>
          <w:rFonts w:hint="default"/>
          <w:color w:val="auto"/>
          <w:highlight w:val="yellow"/>
          <w:u w:val="single"/>
          <w:lang w:val="en-US" w:eastAsia="zh-CN"/>
        </w:rPr>
      </w:pPr>
      <w:r>
        <w:rPr>
          <w:rFonts w:hint="eastAsia"/>
          <w:color w:val="auto"/>
          <w:highlight w:val="yellow"/>
          <w:u w:val="single"/>
          <w:lang w:val="en-US" w:eastAsia="zh-CN"/>
        </w:rPr>
        <w:t>（1）伤者类型有对应附加险的：</w:t>
      </w:r>
    </w:p>
    <w:p w14:paraId="764A5194">
      <w:pPr>
        <w:numPr>
          <w:ilvl w:val="0"/>
          <w:numId w:val="0"/>
        </w:numPr>
        <w:ind w:left="420" w:leftChars="0"/>
        <w:rPr>
          <w:rFonts w:hint="default"/>
          <w:color w:val="auto"/>
          <w:highlight w:val="yellow"/>
          <w:u w:val="single"/>
          <w:lang w:val="en-US" w:eastAsia="zh-CN"/>
        </w:rPr>
      </w:pPr>
      <w:r>
        <w:rPr>
          <w:rFonts w:hint="eastAsia"/>
          <w:color w:val="auto"/>
          <w:highlight w:val="yellow"/>
          <w:u w:val="single"/>
          <w:lang w:val="en-US" w:eastAsia="zh-CN"/>
        </w:rPr>
        <w:t>医药费=发票金额（AI识别结果发票金额）/元-非医保金额（AI识别结果非医保金额）元-</w:t>
      </w:r>
      <w:r>
        <w:rPr>
          <w:rFonts w:hint="eastAsia"/>
          <w:color w:val="auto"/>
          <w:highlight w:val="yellow"/>
          <w:lang w:val="en-US" w:eastAsia="zh-CN"/>
        </w:rPr>
        <w:t>无关用药金额</w:t>
      </w:r>
      <w:r>
        <w:rPr>
          <w:rFonts w:hint="eastAsia"/>
          <w:color w:val="auto"/>
          <w:highlight w:val="yellow"/>
          <w:u w:val="single"/>
          <w:lang w:val="en-US" w:eastAsia="zh-CN"/>
        </w:rPr>
        <w:t>（AI识别结果</w:t>
      </w:r>
      <w:r>
        <w:rPr>
          <w:rFonts w:hint="eastAsia"/>
          <w:color w:val="auto"/>
          <w:highlight w:val="yellow"/>
          <w:lang w:val="en-US" w:eastAsia="zh-CN"/>
        </w:rPr>
        <w:t>无关用药金额</w:t>
      </w:r>
      <w:r>
        <w:rPr>
          <w:rFonts w:hint="eastAsia"/>
          <w:color w:val="auto"/>
          <w:highlight w:val="yellow"/>
          <w:u w:val="single"/>
          <w:lang w:val="en-US" w:eastAsia="zh-CN"/>
        </w:rPr>
        <w:t>）/元+附加医保外用药金额（AI识别结果非医保金额，可修改）元</w:t>
      </w:r>
    </w:p>
    <w:p w14:paraId="1D7AB6B8">
      <w:pPr>
        <w:numPr>
          <w:ilvl w:val="1"/>
          <w:numId w:val="6"/>
        </w:numPr>
        <w:ind w:left="420" w:leftChars="0"/>
        <w:rPr>
          <w:rFonts w:hint="default"/>
          <w:color w:val="auto"/>
          <w:highlight w:val="yellow"/>
          <w:lang w:val="en-US" w:eastAsia="zh-CN"/>
        </w:rPr>
      </w:pPr>
      <w:r>
        <w:rPr>
          <w:rFonts w:hint="eastAsia"/>
          <w:color w:val="auto"/>
          <w:highlight w:val="yellow"/>
          <w:u w:val="single"/>
          <w:lang w:val="en-US" w:eastAsia="zh-CN"/>
        </w:rPr>
        <w:t>控制：附加医保外用药金额默认=AI识别的非医保金额，</w:t>
      </w:r>
      <w:r>
        <w:rPr>
          <w:rFonts w:hint="eastAsia"/>
          <w:color w:val="auto"/>
          <w:highlight w:val="yellow"/>
          <w:lang w:val="en-US" w:eastAsia="zh-CN"/>
        </w:rPr>
        <w:t>可修改，修改范围为[0,非医保金额]。</w:t>
      </w:r>
    </w:p>
    <w:p w14:paraId="7CFC00BA">
      <w:pPr>
        <w:numPr>
          <w:ilvl w:val="0"/>
          <w:numId w:val="0"/>
        </w:numPr>
        <w:ind w:left="420" w:leftChars="0"/>
        <w:rPr>
          <w:rFonts w:hint="eastAsia"/>
          <w:color w:val="auto"/>
          <w:highlight w:val="yellow"/>
          <w:lang w:val="en-US" w:eastAsia="zh-CN"/>
        </w:rPr>
      </w:pPr>
      <w:r>
        <w:rPr>
          <w:rFonts w:hint="eastAsia"/>
          <w:color w:val="auto"/>
          <w:highlight w:val="yellow"/>
          <w:u w:val="single"/>
          <w:lang w:val="en-US" w:eastAsia="zh-CN"/>
        </w:rPr>
        <w:t>伤者类型无</w:t>
      </w:r>
      <w:r>
        <w:rPr>
          <w:rFonts w:hint="eastAsia"/>
          <w:color w:val="auto"/>
          <w:highlight w:val="yellow"/>
          <w:lang w:val="en-US" w:eastAsia="zh-CN"/>
        </w:rPr>
        <w:t>对应附加险的：</w:t>
      </w:r>
    </w:p>
    <w:p w14:paraId="4FAA55EF">
      <w:pPr>
        <w:numPr>
          <w:ilvl w:val="0"/>
          <w:numId w:val="0"/>
        </w:numPr>
        <w:ind w:left="420" w:leftChars="0"/>
        <w:rPr>
          <w:rFonts w:hint="default"/>
          <w:color w:val="auto"/>
          <w:highlight w:val="yellow"/>
          <w:lang w:val="en-US" w:eastAsia="zh-CN"/>
        </w:rPr>
      </w:pPr>
      <w:r>
        <w:rPr>
          <w:rFonts w:hint="default"/>
          <w:color w:val="auto"/>
          <w:highlight w:val="yellow"/>
          <w:lang w:val="en-US" w:eastAsia="zh-CN"/>
        </w:rPr>
        <w:t>（发票金额</w:t>
      </w:r>
      <w:r>
        <w:rPr>
          <w:rFonts w:hint="eastAsia"/>
          <w:color w:val="auto"/>
          <w:highlight w:val="yellow"/>
          <w:lang w:val="en-US" w:eastAsia="zh-CN"/>
        </w:rPr>
        <w:t>：</w:t>
      </w:r>
      <w:r>
        <w:rPr>
          <w:rFonts w:hint="eastAsia"/>
          <w:color w:val="auto"/>
          <w:highlight w:val="yellow"/>
          <w:u w:val="single"/>
          <w:lang w:val="en-US" w:eastAsia="zh-CN"/>
        </w:rPr>
        <w:t>AI识别结果发票金额</w:t>
      </w:r>
      <w:r>
        <w:rPr>
          <w:rFonts w:hint="default"/>
          <w:color w:val="auto"/>
          <w:highlight w:val="yellow"/>
          <w:lang w:val="en-US" w:eastAsia="zh-CN"/>
        </w:rPr>
        <w:t>）/元-（非医保金额</w:t>
      </w:r>
      <w:r>
        <w:rPr>
          <w:rFonts w:hint="eastAsia"/>
          <w:color w:val="auto"/>
          <w:highlight w:val="yellow"/>
          <w:lang w:val="en-US" w:eastAsia="zh-CN"/>
        </w:rPr>
        <w:t>：</w:t>
      </w:r>
      <w:r>
        <w:rPr>
          <w:rFonts w:hint="eastAsia"/>
          <w:color w:val="auto"/>
          <w:highlight w:val="yellow"/>
          <w:u w:val="single"/>
          <w:lang w:val="en-US" w:eastAsia="zh-CN"/>
        </w:rPr>
        <w:t>AI识别结果非医保金额</w:t>
      </w:r>
      <w:r>
        <w:rPr>
          <w:rFonts w:hint="default"/>
          <w:color w:val="auto"/>
          <w:highlight w:val="yellow"/>
          <w:lang w:val="en-US" w:eastAsia="zh-CN"/>
        </w:rPr>
        <w:t>）/元-（</w:t>
      </w:r>
      <w:r>
        <w:rPr>
          <w:rFonts w:hint="eastAsia"/>
          <w:color w:val="auto"/>
          <w:highlight w:val="yellow"/>
          <w:lang w:val="en-US" w:eastAsia="zh-CN"/>
        </w:rPr>
        <w:t>无关用药金额：</w:t>
      </w:r>
      <w:r>
        <w:rPr>
          <w:rFonts w:hint="eastAsia"/>
          <w:color w:val="auto"/>
          <w:highlight w:val="yellow"/>
          <w:u w:val="single"/>
          <w:lang w:val="en-US" w:eastAsia="zh-CN"/>
        </w:rPr>
        <w:t>AI识别结果</w:t>
      </w:r>
      <w:r>
        <w:rPr>
          <w:rFonts w:hint="eastAsia"/>
          <w:color w:val="auto"/>
          <w:highlight w:val="yellow"/>
          <w:lang w:val="en-US" w:eastAsia="zh-CN"/>
        </w:rPr>
        <w:t>无关用药金额</w:t>
      </w:r>
      <w:r>
        <w:rPr>
          <w:rFonts w:hint="default"/>
          <w:color w:val="auto"/>
          <w:highlight w:val="yellow"/>
          <w:lang w:val="en-US" w:eastAsia="zh-CN"/>
        </w:rPr>
        <w:t>）/元。</w:t>
      </w:r>
    </w:p>
    <w:p w14:paraId="59819A30">
      <w:pPr>
        <w:numPr>
          <w:ilvl w:val="0"/>
          <w:numId w:val="0"/>
        </w:numPr>
        <w:ind w:left="420" w:leftChars="0"/>
        <w:rPr>
          <w:rFonts w:hint="eastAsia"/>
          <w:color w:val="auto"/>
          <w:highlight w:val="yellow"/>
          <w:lang w:val="en-US" w:eastAsia="zh-CN"/>
        </w:rPr>
      </w:pPr>
    </w:p>
    <w:p w14:paraId="64E70B4C">
      <w:pPr>
        <w:numPr>
          <w:ilvl w:val="0"/>
          <w:numId w:val="0"/>
        </w:numPr>
        <w:ind w:left="420" w:leftChars="0"/>
        <w:rPr>
          <w:rFonts w:hint="default"/>
          <w:lang w:val="en-US" w:eastAsia="zh-CN"/>
        </w:rPr>
      </w:pPr>
    </w:p>
    <w:p w14:paraId="03ABC08C">
      <w:pPr>
        <w:numPr>
          <w:ilvl w:val="0"/>
          <w:numId w:val="7"/>
        </w:numPr>
        <w:rPr>
          <w:rFonts w:hint="default"/>
          <w:lang w:val="en-US"/>
        </w:rPr>
      </w:pPr>
      <w:r>
        <w:rPr>
          <w:rFonts w:hint="eastAsia"/>
          <w:lang w:val="en-US" w:eastAsia="zh-CN"/>
        </w:rPr>
        <w:t>当前案件保单无AI医疗费识别结果：</w:t>
      </w:r>
    </w:p>
    <w:p w14:paraId="4FAE418A">
      <w:pPr>
        <w:pStyle w:val="9"/>
        <w:rPr>
          <w:rFonts w:hint="default"/>
          <w:color w:val="0000FF"/>
          <w:highlight w:val="yellow"/>
          <w:u w:val="single"/>
          <w:lang w:val="en-US" w:eastAsia="zh-CN"/>
        </w:rPr>
      </w:pPr>
      <w:r>
        <w:rPr>
          <w:rFonts w:hint="eastAsia"/>
          <w:color w:val="0000FF"/>
          <w:highlight w:val="yellow"/>
          <w:u w:val="single"/>
          <w:lang w:val="en-US" w:eastAsia="zh-CN"/>
        </w:rPr>
        <w:t>伤者类型有对应附加险的：</w:t>
      </w:r>
    </w:p>
    <w:p w14:paraId="129FA96B">
      <w:pPr>
        <w:pStyle w:val="9"/>
        <w:rPr>
          <w:rFonts w:hint="eastAsia"/>
          <w:color w:val="0000FF"/>
          <w:highlight w:val="yellow"/>
          <w:u w:val="single"/>
          <w:lang w:val="en-US" w:eastAsia="zh-CN"/>
        </w:rPr>
      </w:pPr>
      <w:r>
        <w:rPr>
          <w:rFonts w:hint="eastAsia"/>
          <w:color w:val="0000FF"/>
          <w:highlight w:val="yellow"/>
          <w:u w:val="single"/>
          <w:lang w:val="en-US" w:eastAsia="zh-CN"/>
        </w:rPr>
        <w:t>医药费=（发票金额：人工录入）/元-（非医保金额：人工录入）元-（</w:t>
      </w:r>
      <w:r>
        <w:rPr>
          <w:rFonts w:hint="eastAsia"/>
          <w:color w:val="FF0000"/>
          <w:highlight w:val="yellow"/>
          <w:lang w:val="en-US" w:eastAsia="zh-CN"/>
        </w:rPr>
        <w:t>无关用药金额</w:t>
      </w:r>
      <w:r>
        <w:rPr>
          <w:rFonts w:hint="eastAsia"/>
          <w:color w:val="0000FF"/>
          <w:highlight w:val="yellow"/>
          <w:u w:val="single"/>
          <w:lang w:val="en-US" w:eastAsia="zh-CN"/>
        </w:rPr>
        <w:t>：人工录入）/元+（附加医保外医疗金额：</w:t>
      </w:r>
      <w:r>
        <w:rPr>
          <w:rFonts w:hint="eastAsia"/>
          <w:color w:val="FF0000"/>
          <w:highlight w:val="yellow"/>
          <w:u w:val="single"/>
          <w:lang w:val="en-US" w:eastAsia="zh-CN"/>
        </w:rPr>
        <w:t>自动带出非医保金额</w:t>
      </w:r>
      <w:r>
        <w:rPr>
          <w:rFonts w:hint="eastAsia"/>
          <w:color w:val="0000FF"/>
          <w:highlight w:val="yellow"/>
          <w:u w:val="single"/>
          <w:lang w:val="en-US" w:eastAsia="zh-CN"/>
        </w:rPr>
        <w:t>，可修改）</w:t>
      </w:r>
    </w:p>
    <w:p w14:paraId="75C90513">
      <w:pPr>
        <w:numPr>
          <w:ilvl w:val="1"/>
          <w:numId w:val="7"/>
        </w:numPr>
        <w:ind w:left="840" w:leftChars="0" w:hanging="420" w:firstLineChars="0"/>
        <w:rPr>
          <w:rFonts w:hint="eastAsia"/>
          <w:color w:val="0000FF"/>
          <w:highlight w:val="yellow"/>
          <w:u w:val="single"/>
          <w:lang w:val="en-US" w:eastAsia="zh-CN"/>
        </w:rPr>
      </w:pPr>
      <w:r>
        <w:rPr>
          <w:rFonts w:hint="eastAsia"/>
          <w:highlight w:val="yellow"/>
          <w:lang w:val="en-US" w:eastAsia="zh-CN"/>
        </w:rPr>
        <w:t>控制</w:t>
      </w:r>
      <w:r>
        <w:rPr>
          <w:rFonts w:hint="eastAsia"/>
          <w:color w:val="0000FF"/>
          <w:highlight w:val="yellow"/>
          <w:u w:val="single"/>
          <w:lang w:val="en-US" w:eastAsia="zh-CN"/>
        </w:rPr>
        <w:t>附加医保外医疗金额</w:t>
      </w:r>
      <w:r>
        <w:rPr>
          <w:rFonts w:hint="eastAsia"/>
          <w:color w:val="FF0000"/>
          <w:highlight w:val="yellow"/>
          <w:u w:val="single"/>
          <w:lang w:val="en-US" w:eastAsia="zh-CN"/>
        </w:rPr>
        <w:t>默认等于非医保金额，</w:t>
      </w:r>
      <w:r>
        <w:rPr>
          <w:rFonts w:hint="eastAsia"/>
          <w:color w:val="FF0000"/>
          <w:highlight w:val="yellow"/>
          <w:lang w:val="en-US" w:eastAsia="zh-CN"/>
        </w:rPr>
        <w:t>可</w:t>
      </w:r>
      <w:r>
        <w:rPr>
          <w:rFonts w:hint="eastAsia"/>
          <w:highlight w:val="yellow"/>
          <w:lang w:val="en-US" w:eastAsia="zh-CN"/>
        </w:rPr>
        <w:t>修改，修改范围为[0,非医保金额]。</w:t>
      </w:r>
    </w:p>
    <w:p w14:paraId="4BED80D0">
      <w:pPr>
        <w:pStyle w:val="9"/>
        <w:rPr>
          <w:rFonts w:hint="eastAsia"/>
          <w:color w:val="0000FF"/>
          <w:highlight w:val="yellow"/>
          <w:u w:val="single"/>
          <w:lang w:val="en-US" w:eastAsia="zh-CN"/>
        </w:rPr>
      </w:pPr>
      <w:r>
        <w:rPr>
          <w:rFonts w:hint="eastAsia"/>
          <w:color w:val="0000FF"/>
          <w:highlight w:val="yellow"/>
          <w:u w:val="single"/>
          <w:lang w:val="en-US" w:eastAsia="zh-CN"/>
        </w:rPr>
        <w:t>伤者类型无对应附加险的：</w:t>
      </w:r>
    </w:p>
    <w:p w14:paraId="060925F0">
      <w:pPr>
        <w:pStyle w:val="9"/>
        <w:rPr>
          <w:rFonts w:hint="default"/>
          <w:color w:val="0000FF"/>
          <w:highlight w:val="yellow"/>
          <w:u w:val="single"/>
          <w:lang w:val="en-US" w:eastAsia="zh-CN"/>
        </w:rPr>
      </w:pPr>
      <w:r>
        <w:rPr>
          <w:rFonts w:hint="eastAsia"/>
          <w:color w:val="0000FF"/>
          <w:highlight w:val="yellow"/>
          <w:u w:val="single"/>
          <w:lang w:val="en-US" w:eastAsia="zh-CN"/>
        </w:rPr>
        <w:t>医药费=（发票金额：人工录入）/元-（非医保金额：人工录入）元-（</w:t>
      </w:r>
      <w:r>
        <w:rPr>
          <w:rFonts w:hint="eastAsia"/>
          <w:color w:val="FF0000"/>
          <w:highlight w:val="yellow"/>
          <w:lang w:val="en-US" w:eastAsia="zh-CN"/>
        </w:rPr>
        <w:t>无关用药金额</w:t>
      </w:r>
      <w:r>
        <w:rPr>
          <w:rFonts w:hint="eastAsia"/>
          <w:color w:val="0000FF"/>
          <w:highlight w:val="yellow"/>
          <w:u w:val="single"/>
          <w:lang w:val="en-US" w:eastAsia="zh-CN"/>
        </w:rPr>
        <w:t>：人工录入）/元</w:t>
      </w:r>
    </w:p>
    <w:p w14:paraId="429E6A9D">
      <w:pPr>
        <w:pStyle w:val="4"/>
        <w:numPr>
          <w:ilvl w:val="3"/>
          <w:numId w:val="1"/>
        </w:numPr>
        <w:rPr>
          <w:rFonts w:ascii="黑体" w:hAnsi="黑体" w:eastAsia="黑体"/>
        </w:rPr>
      </w:pPr>
      <w:bookmarkStart w:id="20" w:name="_Toc13470"/>
      <w:r>
        <w:rPr>
          <w:rFonts w:hint="eastAsia" w:ascii="黑体" w:hAnsi="黑体" w:eastAsia="黑体"/>
          <w:lang w:val="en-US" w:eastAsia="zh-CN"/>
        </w:rPr>
        <w:t>人伤全案核损通过</w:t>
      </w:r>
      <w:bookmarkEnd w:id="20"/>
    </w:p>
    <w:p w14:paraId="2DA537A2">
      <w:pPr>
        <w:numPr>
          <w:ilvl w:val="0"/>
          <w:numId w:val="8"/>
        </w:numPr>
        <w:ind w:firstLine="420" w:firstLineChars="0"/>
        <w:rPr>
          <w:rFonts w:hint="eastAsia"/>
          <w:lang w:val="en-US" w:eastAsia="zh-CN"/>
        </w:rPr>
      </w:pPr>
      <w:r>
        <w:rPr>
          <w:rFonts w:hint="eastAsia"/>
          <w:lang w:val="en-US" w:eastAsia="zh-CN"/>
        </w:rPr>
        <w:t>针对案件下人伤归属只有车外人的情况且核损金额不超过交强人伤赔付限额时</w:t>
      </w:r>
      <w:r>
        <w:rPr>
          <w:rFonts w:hint="eastAsia"/>
          <w:color w:val="FF0000"/>
          <w:highlight w:val="yellow"/>
          <w:lang w:val="en-US" w:eastAsia="zh-CN"/>
        </w:rPr>
        <w:t>（系统会提示损失不超交强险，需要零结/注销商业险），当</w:t>
      </w:r>
      <w:r>
        <w:rPr>
          <w:rFonts w:hint="eastAsia"/>
          <w:lang w:val="en-US" w:eastAsia="zh-CN"/>
        </w:rPr>
        <w:t>保单有承保附加医保外用药责任险-第三者责任保险，且医疗费公式中附加医保外医疗金额＞0时，系统自动对商业险进行估损赋值，规则如下：</w:t>
      </w:r>
    </w:p>
    <w:tbl>
      <w:tblPr>
        <w:tblStyle w:val="24"/>
        <w:tblW w:w="9386"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520"/>
        <w:gridCol w:w="4142"/>
        <w:gridCol w:w="3724"/>
      </w:tblGrid>
      <w:tr w14:paraId="0AD86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520" w:type="dxa"/>
            <w:tcBorders>
              <w:top w:val="single" w:color="000000" w:sz="4" w:space="0"/>
              <w:left w:val="single" w:color="000000" w:sz="4" w:space="0"/>
              <w:bottom w:val="single" w:color="000000" w:sz="4" w:space="0"/>
              <w:right w:val="single" w:color="000000" w:sz="4" w:space="0"/>
            </w:tcBorders>
            <w:shd w:val="clear" w:color="auto" w:fill="00B050"/>
            <w:noWrap/>
            <w:vAlign w:val="center"/>
          </w:tcPr>
          <w:p w14:paraId="656EE0B0">
            <w:pPr>
              <w:keepNext w:val="0"/>
              <w:keepLines w:val="0"/>
              <w:widowControl/>
              <w:suppressLineNumbers w:val="0"/>
              <w:jc w:val="left"/>
              <w:textAlignment w:val="center"/>
              <w:rPr>
                <w:rFonts w:hint="eastAsia" w:ascii="宋体" w:hAnsi="宋体" w:eastAsia="宋体" w:cs="宋体"/>
                <w:b/>
                <w:bCs/>
                <w:i w:val="0"/>
                <w:iCs w:val="0"/>
                <w:color w:val="FFFFFF"/>
                <w:sz w:val="28"/>
                <w:szCs w:val="28"/>
                <w:u w:val="none"/>
              </w:rPr>
            </w:pPr>
            <w:r>
              <w:rPr>
                <w:rFonts w:hint="eastAsia" w:ascii="宋体" w:hAnsi="宋体" w:eastAsia="宋体" w:cs="宋体"/>
                <w:b/>
                <w:bCs/>
                <w:i w:val="0"/>
                <w:iCs w:val="0"/>
                <w:color w:val="FFFFFF"/>
                <w:kern w:val="0"/>
                <w:sz w:val="28"/>
                <w:szCs w:val="28"/>
                <w:u w:val="none"/>
                <w:lang w:val="en-US" w:eastAsia="zh-CN" w:bidi="ar"/>
              </w:rPr>
              <w:t>险别代码</w:t>
            </w:r>
          </w:p>
        </w:tc>
        <w:tc>
          <w:tcPr>
            <w:tcW w:w="4142" w:type="dxa"/>
            <w:tcBorders>
              <w:top w:val="single" w:color="000000" w:sz="4" w:space="0"/>
              <w:left w:val="single" w:color="000000" w:sz="4" w:space="0"/>
              <w:bottom w:val="single" w:color="000000" w:sz="4" w:space="0"/>
              <w:right w:val="single" w:color="000000" w:sz="4" w:space="0"/>
            </w:tcBorders>
            <w:shd w:val="clear" w:color="auto" w:fill="00B050"/>
            <w:noWrap/>
            <w:vAlign w:val="center"/>
          </w:tcPr>
          <w:p w14:paraId="0D772E2E">
            <w:pPr>
              <w:keepNext w:val="0"/>
              <w:keepLines w:val="0"/>
              <w:widowControl/>
              <w:suppressLineNumbers w:val="0"/>
              <w:jc w:val="left"/>
              <w:textAlignment w:val="center"/>
              <w:rPr>
                <w:rFonts w:hint="eastAsia" w:ascii="宋体" w:hAnsi="宋体" w:eastAsia="宋体" w:cs="宋体"/>
                <w:b/>
                <w:bCs/>
                <w:i w:val="0"/>
                <w:iCs w:val="0"/>
                <w:color w:val="FFFFFF"/>
                <w:sz w:val="28"/>
                <w:szCs w:val="28"/>
                <w:u w:val="none"/>
              </w:rPr>
            </w:pPr>
            <w:r>
              <w:rPr>
                <w:rFonts w:hint="eastAsia" w:ascii="宋体" w:hAnsi="宋体" w:eastAsia="宋体" w:cs="宋体"/>
                <w:b/>
                <w:bCs/>
                <w:i w:val="0"/>
                <w:iCs w:val="0"/>
                <w:color w:val="FFFFFF"/>
                <w:kern w:val="0"/>
                <w:sz w:val="28"/>
                <w:szCs w:val="28"/>
                <w:u w:val="none"/>
                <w:lang w:val="en-US" w:eastAsia="zh-CN" w:bidi="ar"/>
              </w:rPr>
              <w:t>险别名称</w:t>
            </w:r>
          </w:p>
        </w:tc>
        <w:tc>
          <w:tcPr>
            <w:tcW w:w="3724" w:type="dxa"/>
            <w:tcBorders>
              <w:top w:val="single" w:color="000000" w:sz="4" w:space="0"/>
              <w:left w:val="single" w:color="000000" w:sz="4" w:space="0"/>
              <w:bottom w:val="single" w:color="000000" w:sz="4" w:space="0"/>
              <w:right w:val="single" w:color="000000" w:sz="4" w:space="0"/>
            </w:tcBorders>
            <w:shd w:val="clear" w:color="auto" w:fill="00B050"/>
            <w:noWrap/>
            <w:vAlign w:val="center"/>
          </w:tcPr>
          <w:p w14:paraId="71723F5C">
            <w:pPr>
              <w:keepNext w:val="0"/>
              <w:keepLines w:val="0"/>
              <w:widowControl/>
              <w:suppressLineNumbers w:val="0"/>
              <w:jc w:val="left"/>
              <w:textAlignment w:val="center"/>
              <w:rPr>
                <w:rFonts w:hint="eastAsia" w:ascii="宋体" w:hAnsi="宋体" w:eastAsia="宋体" w:cs="宋体"/>
                <w:b/>
                <w:bCs/>
                <w:i w:val="0"/>
                <w:iCs w:val="0"/>
                <w:color w:val="FFFFFF"/>
                <w:sz w:val="28"/>
                <w:szCs w:val="28"/>
                <w:u w:val="none"/>
              </w:rPr>
            </w:pPr>
            <w:r>
              <w:rPr>
                <w:rFonts w:hint="eastAsia" w:ascii="宋体" w:hAnsi="宋体" w:eastAsia="宋体" w:cs="宋体"/>
                <w:b/>
                <w:bCs/>
                <w:i w:val="0"/>
                <w:iCs w:val="0"/>
                <w:color w:val="FFFFFF"/>
                <w:kern w:val="0"/>
                <w:sz w:val="28"/>
                <w:szCs w:val="28"/>
                <w:u w:val="none"/>
                <w:lang w:val="en-US" w:eastAsia="zh-CN" w:bidi="ar"/>
              </w:rPr>
              <w:t>医疗费用</w:t>
            </w:r>
          </w:p>
        </w:tc>
      </w:tr>
      <w:tr w14:paraId="3AC31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5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8E5AE">
            <w:pPr>
              <w:keepNext w:val="0"/>
              <w:keepLines w:val="0"/>
              <w:widowControl/>
              <w:suppressLineNumbers w:val="0"/>
              <w:jc w:val="left"/>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MB1</w:t>
            </w:r>
          </w:p>
        </w:tc>
        <w:tc>
          <w:tcPr>
            <w:tcW w:w="41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57178">
            <w:pPr>
              <w:keepNext w:val="0"/>
              <w:keepLines w:val="0"/>
              <w:widowControl/>
              <w:suppressLineNumbers w:val="0"/>
              <w:jc w:val="left"/>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附加医保外用药责任险-第三者责任保险</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729D8">
            <w:pPr>
              <w:keepNext w:val="0"/>
              <w:keepLines w:val="0"/>
              <w:widowControl/>
              <w:suppressLineNumbers w:val="0"/>
              <w:jc w:val="left"/>
              <w:textAlignment w:val="center"/>
              <w:rPr>
                <w:rFonts w:hint="default" w:ascii="宋体" w:hAnsi="宋体" w:eastAsia="宋体" w:cs="宋体"/>
                <w:b/>
                <w:bCs/>
                <w:i w:val="0"/>
                <w:iCs w:val="0"/>
                <w:color w:val="auto"/>
                <w:sz w:val="22"/>
                <w:szCs w:val="22"/>
                <w:u w:val="none"/>
                <w:lang w:val="en-US" w:eastAsia="zh-CN"/>
              </w:rPr>
            </w:pPr>
            <w:r>
              <w:rPr>
                <w:rFonts w:hint="default" w:ascii="宋体" w:hAnsi="宋体" w:eastAsia="宋体" w:cs="宋体"/>
                <w:b/>
                <w:bCs/>
                <w:i w:val="0"/>
                <w:iCs w:val="0"/>
                <w:color w:val="auto"/>
                <w:sz w:val="22"/>
                <w:szCs w:val="22"/>
                <w:u w:val="none"/>
                <w:lang w:val="en-US"/>
              </w:rPr>
              <w:t>按照定损录入的Σ车外人员附加医保外医疗金额进行赋值并刷估</w:t>
            </w:r>
            <w:r>
              <w:rPr>
                <w:rFonts w:hint="eastAsia" w:ascii="宋体" w:hAnsi="宋体" w:cs="宋体"/>
                <w:b/>
                <w:bCs/>
                <w:i w:val="0"/>
                <w:iCs w:val="0"/>
                <w:color w:val="auto"/>
                <w:sz w:val="22"/>
                <w:szCs w:val="22"/>
                <w:u w:val="none"/>
                <w:lang w:val="en-US" w:eastAsia="zh-CN"/>
              </w:rPr>
              <w:t>，</w:t>
            </w:r>
            <w:r>
              <w:rPr>
                <w:rFonts w:hint="eastAsia" w:ascii="宋体" w:hAnsi="宋体" w:cs="宋体"/>
                <w:b/>
                <w:bCs/>
                <w:i w:val="0"/>
                <w:iCs w:val="0"/>
                <w:color w:val="FF0000"/>
                <w:sz w:val="22"/>
                <w:szCs w:val="22"/>
                <w:highlight w:val="yellow"/>
                <w:u w:val="none"/>
                <w:lang w:val="en-US" w:eastAsia="zh-CN"/>
              </w:rPr>
              <w:t>刷估规则同商业三者险医疗费用的刷估规则。</w:t>
            </w:r>
          </w:p>
        </w:tc>
      </w:tr>
    </w:tbl>
    <w:p w14:paraId="6876E8E6">
      <w:pPr>
        <w:numPr>
          <w:ilvl w:val="0"/>
          <w:numId w:val="0"/>
        </w:numPr>
        <w:rPr>
          <w:rFonts w:hint="default"/>
          <w:color w:val="FF0000"/>
          <w:lang w:val="en-US" w:eastAsia="zh-CN"/>
        </w:rPr>
      </w:pPr>
      <w:bookmarkStart w:id="21" w:name="_Toc15781"/>
    </w:p>
    <w:p w14:paraId="3541FC24">
      <w:pPr>
        <w:numPr>
          <w:ilvl w:val="0"/>
          <w:numId w:val="8"/>
        </w:numPr>
        <w:ind w:firstLine="420" w:firstLineChars="0"/>
        <w:rPr>
          <w:rFonts w:hint="eastAsia" w:ascii="黑体" w:hAnsi="黑体" w:eastAsia="黑体"/>
          <w:highlight w:val="yellow"/>
          <w:lang w:val="en-US" w:eastAsia="zh-CN"/>
        </w:rPr>
      </w:pPr>
      <w:r>
        <w:rPr>
          <w:rFonts w:hint="eastAsia"/>
          <w:color w:val="FF0000"/>
          <w:highlight w:val="yellow"/>
          <w:lang w:val="en-US" w:eastAsia="zh-CN"/>
        </w:rPr>
        <w:t>增加：当附加医保外用药责任险-第三者责任保险赋值时，同时“医疗费用”需剔除相应</w:t>
      </w:r>
      <w:r>
        <w:rPr>
          <w:rFonts w:hint="default"/>
          <w:color w:val="FF0000"/>
          <w:highlight w:val="yellow"/>
          <w:lang w:val="en-US" w:eastAsia="zh-CN"/>
        </w:rPr>
        <w:t>附加医保外医疗金额</w:t>
      </w:r>
      <w:r>
        <w:rPr>
          <w:rFonts w:hint="eastAsia"/>
          <w:color w:val="FF0000"/>
          <w:highlight w:val="yellow"/>
          <w:lang w:val="en-US" w:eastAsia="zh-CN"/>
        </w:rPr>
        <w:t>后再在相应险种下进行刷估（保持原有刷估规则不变）。</w:t>
      </w:r>
    </w:p>
    <w:p w14:paraId="77E0CDAE">
      <w:pPr>
        <w:pStyle w:val="4"/>
        <w:numPr>
          <w:ilvl w:val="3"/>
          <w:numId w:val="1"/>
        </w:numPr>
        <w:rPr>
          <w:rFonts w:ascii="黑体" w:hAnsi="黑体" w:eastAsia="黑体"/>
        </w:rPr>
      </w:pPr>
      <w:r>
        <w:rPr>
          <w:rFonts w:hint="eastAsia" w:ascii="黑体" w:hAnsi="黑体" w:eastAsia="黑体"/>
          <w:lang w:val="en-US" w:eastAsia="zh-CN"/>
        </w:rPr>
        <w:t>理算</w:t>
      </w:r>
      <w:bookmarkEnd w:id="21"/>
    </w:p>
    <w:p w14:paraId="73652F9B">
      <w:r>
        <w:drawing>
          <wp:inline distT="0" distB="0" distL="114300" distR="114300">
            <wp:extent cx="5271135" cy="399415"/>
            <wp:effectExtent l="9525" t="9525" r="15240" b="1016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0"/>
                    <a:stretch>
                      <a:fillRect/>
                    </a:stretch>
                  </pic:blipFill>
                  <pic:spPr>
                    <a:xfrm>
                      <a:off x="0" y="0"/>
                      <a:ext cx="5271135" cy="399415"/>
                    </a:xfrm>
                    <a:prstGeom prst="rect">
                      <a:avLst/>
                    </a:prstGeom>
                    <a:noFill/>
                    <a:ln>
                      <a:solidFill>
                        <a:srgbClr val="0000FF"/>
                      </a:solidFill>
                    </a:ln>
                  </pic:spPr>
                </pic:pic>
              </a:graphicData>
            </a:graphic>
          </wp:inline>
        </w:drawing>
      </w:r>
    </w:p>
    <w:p w14:paraId="693B1CD9">
      <w:pPr>
        <w:numPr>
          <w:ilvl w:val="0"/>
          <w:numId w:val="9"/>
        </w:numPr>
        <w:ind w:left="425" w:leftChars="0" w:hanging="425" w:firstLineChars="0"/>
        <w:rPr>
          <w:rFonts w:hint="default"/>
          <w:lang w:val="en-US" w:eastAsia="zh-CN"/>
        </w:rPr>
      </w:pPr>
      <w:r>
        <w:rPr>
          <w:rFonts w:hint="eastAsia"/>
          <w:lang w:val="en-US" w:eastAsia="zh-CN"/>
        </w:rPr>
        <w:t>进行商业险计算书理算时，附加医保外用药险的核定金额</w:t>
      </w:r>
      <w:r>
        <w:rPr>
          <w:rFonts w:hint="eastAsia"/>
          <w:color w:val="FF0000"/>
          <w:highlight w:val="yellow"/>
          <w:lang w:val="en-US" w:eastAsia="zh-CN"/>
        </w:rPr>
        <w:t>带出相应损失名称项下</w:t>
      </w:r>
      <w:r>
        <w:rPr>
          <w:rFonts w:hint="eastAsia"/>
          <w:lang w:val="en-US" w:eastAsia="zh-CN"/>
        </w:rPr>
        <w:t>人伤定损医药费中的</w:t>
      </w:r>
      <w:r>
        <w:rPr>
          <w:rFonts w:hint="eastAsia"/>
          <w:b/>
          <w:bCs/>
          <w:lang w:val="en-US" w:eastAsia="zh-CN"/>
        </w:rPr>
        <w:t>附加医保外医疗金额</w:t>
      </w:r>
      <w:r>
        <w:rPr>
          <w:rFonts w:hint="eastAsia"/>
          <w:lang w:val="en-US" w:eastAsia="zh-CN"/>
        </w:rPr>
        <w:t>。（即医药费公式附加医保外医疗金额值）</w:t>
      </w:r>
    </w:p>
    <w:p w14:paraId="1B8C29C6">
      <w:pPr>
        <w:numPr>
          <w:ilvl w:val="0"/>
          <w:numId w:val="0"/>
        </w:numPr>
        <w:rPr>
          <w:rFonts w:hint="default"/>
          <w:lang w:val="en-US" w:eastAsia="zh-CN"/>
        </w:rPr>
      </w:pPr>
    </w:p>
    <w:p w14:paraId="6222886F">
      <w:pPr>
        <w:pStyle w:val="4"/>
        <w:rPr>
          <w:rFonts w:ascii="黑体" w:hAnsi="黑体" w:eastAsia="黑体"/>
        </w:rPr>
      </w:pPr>
      <w:bookmarkStart w:id="22" w:name="_Toc2583"/>
      <w:r>
        <w:rPr>
          <w:rFonts w:hint="eastAsia" w:ascii="黑体" w:hAnsi="黑体" w:eastAsia="黑体"/>
        </w:rPr>
        <w:t>界面原型</w:t>
      </w:r>
      <w:bookmarkEnd w:id="22"/>
    </w:p>
    <w:p w14:paraId="370C90A7">
      <w:pPr>
        <w:pStyle w:val="5"/>
        <w:numPr>
          <w:ilvl w:val="3"/>
          <w:numId w:val="1"/>
        </w:numPr>
        <w:rPr>
          <w:rFonts w:ascii="黑体" w:hAnsi="黑体" w:eastAsia="黑体"/>
          <w:snapToGrid w:val="0"/>
          <w:sz w:val="21"/>
          <w:szCs w:val="21"/>
        </w:rPr>
      </w:pPr>
      <w:r>
        <w:rPr>
          <w:rFonts w:hint="eastAsia" w:ascii="黑体" w:hAnsi="黑体" w:eastAsia="黑体"/>
          <w:snapToGrid w:val="0"/>
          <w:sz w:val="21"/>
          <w:szCs w:val="21"/>
        </w:rPr>
        <w:t>页面流转图</w:t>
      </w:r>
    </w:p>
    <w:p w14:paraId="784023D9">
      <w:pPr>
        <w:pStyle w:val="5"/>
        <w:numPr>
          <w:ilvl w:val="3"/>
          <w:numId w:val="1"/>
        </w:numPr>
        <w:rPr>
          <w:rFonts w:ascii="黑体" w:hAnsi="黑体" w:eastAsia="黑体"/>
          <w:snapToGrid w:val="0"/>
          <w:sz w:val="21"/>
          <w:szCs w:val="21"/>
        </w:rPr>
      </w:pPr>
      <w:r>
        <w:rPr>
          <w:rFonts w:hint="eastAsia" w:ascii="黑体" w:hAnsi="黑体" w:eastAsia="黑体"/>
          <w:snapToGrid w:val="0"/>
          <w:sz w:val="21"/>
          <w:szCs w:val="21"/>
        </w:rPr>
        <w:t>页面展示</w:t>
      </w:r>
    </w:p>
    <w:p w14:paraId="11F07DBC">
      <w:pPr>
        <w:pStyle w:val="5"/>
        <w:numPr>
          <w:ilvl w:val="3"/>
          <w:numId w:val="1"/>
        </w:numPr>
        <w:rPr>
          <w:rFonts w:ascii="黑体" w:hAnsi="黑体" w:eastAsia="黑体"/>
          <w:snapToGrid w:val="0"/>
          <w:sz w:val="21"/>
          <w:szCs w:val="21"/>
        </w:rPr>
      </w:pPr>
      <w:r>
        <w:rPr>
          <w:rFonts w:hint="eastAsia" w:ascii="黑体" w:hAnsi="黑体" w:eastAsia="黑体"/>
          <w:snapToGrid w:val="0"/>
          <w:sz w:val="21"/>
          <w:szCs w:val="21"/>
        </w:rPr>
        <w:t>新增或修改字段说明</w:t>
      </w:r>
    </w:p>
    <w:p w14:paraId="5B2DC305">
      <w:pPr>
        <w:pStyle w:val="3"/>
        <w:rPr>
          <w:snapToGrid w:val="0"/>
          <w:kern w:val="0"/>
        </w:rPr>
      </w:pPr>
      <w:bookmarkStart w:id="23" w:name="_Toc32350"/>
      <w:r>
        <w:rPr>
          <w:rFonts w:hint="eastAsia"/>
          <w:snapToGrid w:val="0"/>
          <w:kern w:val="0"/>
        </w:rPr>
        <w:t>需求</w:t>
      </w:r>
      <w:r>
        <w:rPr>
          <w:rFonts w:hint="eastAsia"/>
          <w:snapToGrid w:val="0"/>
          <w:kern w:val="0"/>
          <w:lang w:val="en-US" w:eastAsia="zh-CN"/>
        </w:rPr>
        <w:t>2移动理赔系统</w:t>
      </w:r>
      <w:bookmarkEnd w:id="23"/>
      <w:r>
        <w:rPr>
          <w:rFonts w:hint="eastAsia"/>
          <w:snapToGrid w:val="0"/>
          <w:kern w:val="0"/>
          <w:lang w:val="en-US" w:eastAsia="zh-CN"/>
        </w:rPr>
        <w:t xml:space="preserve"> </w:t>
      </w:r>
    </w:p>
    <w:p w14:paraId="6C546919">
      <w:pPr>
        <w:pStyle w:val="4"/>
        <w:rPr>
          <w:rFonts w:ascii="黑体" w:hAnsi="黑体" w:eastAsia="黑体"/>
        </w:rPr>
      </w:pPr>
      <w:bookmarkStart w:id="24" w:name="_Toc9251"/>
      <w:r>
        <w:rPr>
          <w:rFonts w:hint="eastAsia" w:ascii="黑体" w:hAnsi="黑体" w:eastAsia="黑体"/>
        </w:rPr>
        <w:t>功能描述</w:t>
      </w:r>
      <w:bookmarkEnd w:id="24"/>
    </w:p>
    <w:p w14:paraId="59D4D8CD">
      <w:pPr>
        <w:rPr>
          <w:rFonts w:hint="default" w:eastAsia="黑体"/>
          <w:lang w:val="en-US" w:eastAsia="zh-CN"/>
        </w:rPr>
      </w:pPr>
      <w:r>
        <w:rPr>
          <w:rFonts w:hint="eastAsia" w:ascii="黑体" w:hAnsi="黑体" w:eastAsia="黑体"/>
          <w:lang w:val="en-US" w:eastAsia="zh-CN"/>
        </w:rPr>
        <w:t>医疗费计算公式优化。</w:t>
      </w:r>
    </w:p>
    <w:p w14:paraId="0AC8A25B">
      <w:pPr>
        <w:pStyle w:val="4"/>
        <w:rPr>
          <w:rFonts w:ascii="黑体" w:hAnsi="黑体" w:eastAsia="黑体"/>
        </w:rPr>
      </w:pPr>
      <w:bookmarkStart w:id="25" w:name="_Toc15546"/>
      <w:r>
        <w:rPr>
          <w:rFonts w:hint="eastAsia" w:ascii="黑体" w:hAnsi="黑体" w:eastAsia="黑体"/>
        </w:rPr>
        <w:t>业务规则/算法</w:t>
      </w:r>
      <w:bookmarkEnd w:id="25"/>
    </w:p>
    <w:p w14:paraId="43002B9A">
      <w:pPr>
        <w:pStyle w:val="4"/>
        <w:numPr>
          <w:ilvl w:val="3"/>
          <w:numId w:val="1"/>
        </w:numPr>
        <w:rPr>
          <w:rFonts w:ascii="黑体" w:hAnsi="黑体" w:eastAsia="黑体"/>
        </w:rPr>
      </w:pPr>
      <w:bookmarkStart w:id="26" w:name="_Toc24626"/>
      <w:r>
        <w:rPr>
          <w:rFonts w:hint="eastAsia" w:ascii="黑体" w:hAnsi="黑体" w:eastAsia="黑体"/>
          <w:lang w:val="en-US" w:eastAsia="zh-CN"/>
        </w:rPr>
        <w:t>人伤跟踪</w:t>
      </w:r>
      <w:bookmarkEnd w:id="26"/>
    </w:p>
    <w:p w14:paraId="740B8645">
      <w:pPr>
        <w:numPr>
          <w:ilvl w:val="1"/>
          <w:numId w:val="7"/>
        </w:numPr>
        <w:ind w:left="840" w:leftChars="0" w:hanging="420" w:firstLineChars="0"/>
        <w:rPr>
          <w:rFonts w:hint="default"/>
          <w:lang w:val="en-US" w:eastAsia="zh-CN"/>
        </w:rPr>
      </w:pPr>
      <w:r>
        <w:rPr>
          <w:rFonts w:hint="eastAsia"/>
          <w:lang w:val="en-US" w:eastAsia="zh-CN"/>
        </w:rPr>
        <w:t>医药费计算公式由</w:t>
      </w:r>
    </w:p>
    <w:p w14:paraId="4CCFB688">
      <w:pPr>
        <w:numPr>
          <w:ilvl w:val="0"/>
          <w:numId w:val="0"/>
        </w:numPr>
        <w:ind w:left="420" w:leftChars="0"/>
        <w:rPr>
          <w:rFonts w:hint="eastAsia"/>
          <w:b/>
          <w:bCs/>
          <w:lang w:val="en-US" w:eastAsia="zh-CN"/>
        </w:rPr>
      </w:pPr>
      <w:r>
        <w:rPr>
          <w:rFonts w:hint="eastAsia"/>
          <w:b/>
          <w:bCs/>
          <w:lang w:val="en-US" w:eastAsia="zh-CN"/>
        </w:rPr>
        <w:t>当前：</w:t>
      </w:r>
    </w:p>
    <w:p w14:paraId="1A774FB9">
      <w:pPr>
        <w:numPr>
          <w:ilvl w:val="0"/>
          <w:numId w:val="5"/>
        </w:numPr>
        <w:ind w:left="840" w:leftChars="0" w:hanging="420" w:firstLineChars="0"/>
        <w:rPr>
          <w:rFonts w:hint="eastAsia"/>
          <w:lang w:val="en-US" w:eastAsia="zh-CN"/>
        </w:rPr>
      </w:pPr>
      <w:r>
        <w:rPr>
          <w:rFonts w:hint="eastAsia"/>
          <w:highlight w:val="yellow"/>
          <w:lang w:val="en-US" w:eastAsia="zh-CN"/>
        </w:rPr>
        <w:t>伤者类型有对应</w:t>
      </w:r>
      <w:r>
        <w:rPr>
          <w:rFonts w:hint="eastAsia"/>
          <w:lang w:val="en-US" w:eastAsia="zh-CN"/>
        </w:rPr>
        <w:t>医保外附加险的，医疗费公式：</w:t>
      </w:r>
    </w:p>
    <w:p w14:paraId="0ABE945C">
      <w:pPr>
        <w:numPr>
          <w:ilvl w:val="0"/>
          <w:numId w:val="0"/>
        </w:numPr>
        <w:ind w:left="420" w:leftChars="0"/>
        <w:rPr>
          <w:rFonts w:hint="eastAsia"/>
          <w:lang w:val="en-US" w:eastAsia="zh-CN"/>
        </w:rPr>
      </w:pPr>
      <w:r>
        <w:rPr>
          <w:rFonts w:hint="eastAsia"/>
          <w:lang w:val="en-US" w:eastAsia="zh-CN"/>
        </w:rPr>
        <w:t>（发票金额）/元-（</w:t>
      </w:r>
      <w:r>
        <w:rPr>
          <w:rFonts w:hint="eastAsia"/>
          <w:color w:val="0000FF"/>
          <w:lang w:val="en-US" w:eastAsia="zh-CN"/>
        </w:rPr>
        <w:t>医保外用药金额</w:t>
      </w:r>
      <w:r>
        <w:rPr>
          <w:rFonts w:hint="eastAsia"/>
          <w:lang w:val="en-US" w:eastAsia="zh-CN"/>
        </w:rPr>
        <w:t>）/元-（</w:t>
      </w:r>
      <w:r>
        <w:rPr>
          <w:rFonts w:hint="eastAsia"/>
          <w:color w:val="0000FF"/>
          <w:lang w:val="en-US" w:eastAsia="zh-CN"/>
        </w:rPr>
        <w:t>无关用药金额</w:t>
      </w:r>
      <w:r>
        <w:rPr>
          <w:rFonts w:hint="eastAsia"/>
          <w:lang w:val="en-US" w:eastAsia="zh-CN"/>
        </w:rPr>
        <w:t>）/元+（</w:t>
      </w:r>
      <w:r>
        <w:rPr>
          <w:rFonts w:hint="eastAsia"/>
          <w:color w:val="0000FF"/>
          <w:lang w:val="en-US" w:eastAsia="zh-CN"/>
        </w:rPr>
        <w:t>医保外用药金额</w:t>
      </w:r>
      <w:r>
        <w:rPr>
          <w:rFonts w:hint="eastAsia"/>
          <w:lang w:val="en-US" w:eastAsia="zh-CN"/>
        </w:rPr>
        <w:t>）/元</w:t>
      </w:r>
    </w:p>
    <w:p w14:paraId="5695F65C">
      <w:pPr>
        <w:numPr>
          <w:ilvl w:val="0"/>
          <w:numId w:val="5"/>
        </w:numPr>
        <w:ind w:left="840" w:leftChars="0" w:hanging="420" w:firstLineChars="0"/>
        <w:rPr>
          <w:rFonts w:hint="eastAsia"/>
          <w:lang w:val="en-US" w:eastAsia="zh-CN"/>
        </w:rPr>
      </w:pPr>
      <w:r>
        <w:rPr>
          <w:rFonts w:hint="eastAsia"/>
          <w:highlight w:val="yellow"/>
          <w:lang w:val="en-US" w:eastAsia="zh-CN"/>
        </w:rPr>
        <w:t>伤者类型没有对应</w:t>
      </w:r>
      <w:r>
        <w:rPr>
          <w:rFonts w:hint="eastAsia"/>
          <w:lang w:val="en-US" w:eastAsia="zh-CN"/>
        </w:rPr>
        <w:t>没有医保外附加险的，医疗费公式：</w:t>
      </w:r>
    </w:p>
    <w:p w14:paraId="44C110E5">
      <w:pPr>
        <w:numPr>
          <w:ilvl w:val="0"/>
          <w:numId w:val="0"/>
        </w:numPr>
        <w:ind w:left="420" w:leftChars="0"/>
        <w:rPr>
          <w:rFonts w:hint="eastAsia"/>
          <w:lang w:val="en-US" w:eastAsia="zh-CN"/>
        </w:rPr>
      </w:pPr>
      <w:r>
        <w:rPr>
          <w:rFonts w:hint="eastAsia"/>
          <w:lang w:val="en-US" w:eastAsia="zh-CN"/>
        </w:rPr>
        <w:t>（发票金额）/元-（</w:t>
      </w:r>
      <w:r>
        <w:rPr>
          <w:rFonts w:hint="eastAsia"/>
          <w:color w:val="0000FF"/>
          <w:lang w:val="en-US" w:eastAsia="zh-CN"/>
        </w:rPr>
        <w:t>医保外用药金额</w:t>
      </w:r>
      <w:r>
        <w:rPr>
          <w:rFonts w:hint="eastAsia"/>
          <w:lang w:val="en-US" w:eastAsia="zh-CN"/>
        </w:rPr>
        <w:t>）/元-（</w:t>
      </w:r>
      <w:r>
        <w:rPr>
          <w:rFonts w:hint="eastAsia"/>
          <w:color w:val="0000FF"/>
          <w:lang w:val="en-US" w:eastAsia="zh-CN"/>
        </w:rPr>
        <w:t>无关用药金额</w:t>
      </w:r>
      <w:r>
        <w:rPr>
          <w:rFonts w:hint="eastAsia"/>
          <w:lang w:val="en-US" w:eastAsia="zh-CN"/>
        </w:rPr>
        <w:t>）/元</w:t>
      </w:r>
    </w:p>
    <w:p w14:paraId="6A91D079">
      <w:pPr>
        <w:numPr>
          <w:ilvl w:val="0"/>
          <w:numId w:val="0"/>
        </w:numPr>
        <w:ind w:left="420" w:leftChars="0"/>
        <w:rPr>
          <w:rFonts w:hint="eastAsia"/>
          <w:b/>
          <w:bCs/>
          <w:lang w:val="en-US" w:eastAsia="zh-CN"/>
        </w:rPr>
      </w:pPr>
      <w:r>
        <w:rPr>
          <w:rFonts w:hint="eastAsia"/>
          <w:b/>
          <w:bCs/>
          <w:lang w:val="en-US" w:eastAsia="zh-CN"/>
        </w:rPr>
        <w:t>调整为：</w:t>
      </w:r>
    </w:p>
    <w:p w14:paraId="2A76C4A8">
      <w:pPr>
        <w:numPr>
          <w:ilvl w:val="0"/>
          <w:numId w:val="5"/>
        </w:numPr>
        <w:ind w:left="840" w:leftChars="0" w:hanging="420" w:firstLineChars="0"/>
        <w:rPr>
          <w:rFonts w:hint="default"/>
          <w:lang w:val="en-US" w:eastAsia="zh-CN"/>
        </w:rPr>
      </w:pPr>
      <w:r>
        <w:rPr>
          <w:rFonts w:hint="eastAsia"/>
          <w:highlight w:val="yellow"/>
          <w:lang w:val="en-US" w:eastAsia="zh-CN"/>
        </w:rPr>
        <w:t>伤者类型有对应</w:t>
      </w:r>
      <w:r>
        <w:rPr>
          <w:rFonts w:hint="default"/>
          <w:lang w:val="en-US" w:eastAsia="zh-CN"/>
        </w:rPr>
        <w:t>医保外附加险的（</w:t>
      </w:r>
      <w:r>
        <w:rPr>
          <w:rFonts w:hint="default"/>
          <w:color w:val="auto"/>
          <w:lang w:val="en-US" w:eastAsia="zh-CN"/>
        </w:rPr>
        <w:t>伤者类型与附加险对应</w:t>
      </w:r>
      <w:r>
        <w:rPr>
          <w:rFonts w:hint="default"/>
          <w:lang w:val="en-US" w:eastAsia="zh-CN"/>
        </w:rPr>
        <w:t>），医疗费公式：</w:t>
      </w:r>
    </w:p>
    <w:p w14:paraId="39E477F5">
      <w:pPr>
        <w:numPr>
          <w:ilvl w:val="0"/>
          <w:numId w:val="0"/>
        </w:numPr>
        <w:ind w:left="420" w:leftChars="0"/>
        <w:rPr>
          <w:rFonts w:hint="default"/>
          <w:lang w:val="en-US" w:eastAsia="zh-CN"/>
        </w:rPr>
      </w:pPr>
      <w:r>
        <w:rPr>
          <w:rFonts w:hint="default"/>
          <w:lang w:val="en-US" w:eastAsia="zh-CN"/>
        </w:rPr>
        <w:t>（发票金额）/元-（</w:t>
      </w:r>
      <w:r>
        <w:rPr>
          <w:rFonts w:hint="default"/>
          <w:color w:val="0000FF"/>
          <w:lang w:val="en-US" w:eastAsia="zh-CN"/>
        </w:rPr>
        <w:t>非医保金额</w:t>
      </w:r>
      <w:r>
        <w:rPr>
          <w:rFonts w:hint="default"/>
          <w:lang w:val="en-US" w:eastAsia="zh-CN"/>
        </w:rPr>
        <w:t>）/元-（</w:t>
      </w:r>
      <w:r>
        <w:rPr>
          <w:rFonts w:hint="eastAsia"/>
          <w:color w:val="FF0000"/>
          <w:highlight w:val="yellow"/>
          <w:lang w:val="en-US" w:eastAsia="zh-CN"/>
        </w:rPr>
        <w:t>无关用药金额</w:t>
      </w:r>
      <w:r>
        <w:rPr>
          <w:rFonts w:hint="default"/>
          <w:lang w:val="en-US" w:eastAsia="zh-CN"/>
        </w:rPr>
        <w:t>）/元+（</w:t>
      </w:r>
      <w:r>
        <w:rPr>
          <w:rFonts w:hint="default"/>
          <w:color w:val="0000FF"/>
          <w:lang w:val="en-US" w:eastAsia="zh-CN"/>
        </w:rPr>
        <w:t>附加医保外医疗金额</w:t>
      </w:r>
      <w:r>
        <w:rPr>
          <w:rFonts w:hint="default"/>
          <w:lang w:val="en-US" w:eastAsia="zh-CN"/>
        </w:rPr>
        <w:t>）/元</w:t>
      </w:r>
    </w:p>
    <w:p w14:paraId="1596DB50">
      <w:pPr>
        <w:numPr>
          <w:ilvl w:val="0"/>
          <w:numId w:val="5"/>
        </w:numPr>
        <w:ind w:left="840" w:leftChars="0" w:hanging="420" w:firstLineChars="0"/>
        <w:rPr>
          <w:rFonts w:hint="default"/>
          <w:lang w:val="en-US" w:eastAsia="zh-CN"/>
        </w:rPr>
      </w:pPr>
      <w:r>
        <w:rPr>
          <w:rFonts w:hint="eastAsia"/>
          <w:highlight w:val="yellow"/>
          <w:lang w:val="en-US" w:eastAsia="zh-CN"/>
        </w:rPr>
        <w:t>伤者类型没有对应</w:t>
      </w:r>
      <w:r>
        <w:rPr>
          <w:rFonts w:hint="default"/>
          <w:lang w:val="en-US" w:eastAsia="zh-CN"/>
        </w:rPr>
        <w:t>医保外附加险的（</w:t>
      </w:r>
      <w:r>
        <w:rPr>
          <w:rFonts w:hint="default"/>
          <w:color w:val="auto"/>
          <w:lang w:val="en-US" w:eastAsia="zh-CN"/>
        </w:rPr>
        <w:t>伤者类型与附加险对应</w:t>
      </w:r>
      <w:r>
        <w:rPr>
          <w:rFonts w:hint="default"/>
          <w:lang w:val="en-US" w:eastAsia="zh-CN"/>
        </w:rPr>
        <w:t>），医疗费公式：</w:t>
      </w:r>
    </w:p>
    <w:p w14:paraId="128FB09F">
      <w:pPr>
        <w:numPr>
          <w:ilvl w:val="0"/>
          <w:numId w:val="0"/>
        </w:numPr>
        <w:ind w:left="420" w:leftChars="0"/>
        <w:rPr>
          <w:rFonts w:hint="eastAsia"/>
          <w:lang w:val="en-US" w:eastAsia="zh-CN"/>
        </w:rPr>
      </w:pPr>
      <w:r>
        <w:rPr>
          <w:rFonts w:hint="default"/>
          <w:lang w:val="en-US" w:eastAsia="zh-CN"/>
        </w:rPr>
        <w:t>（发票金额）/元-（</w:t>
      </w:r>
      <w:r>
        <w:rPr>
          <w:rFonts w:hint="default"/>
          <w:color w:val="0000FF"/>
          <w:lang w:val="en-US" w:eastAsia="zh-CN"/>
        </w:rPr>
        <w:t>非医保金额</w:t>
      </w:r>
      <w:r>
        <w:rPr>
          <w:rFonts w:hint="default"/>
          <w:lang w:val="en-US" w:eastAsia="zh-CN"/>
        </w:rPr>
        <w:t>）/元-（</w:t>
      </w:r>
      <w:r>
        <w:rPr>
          <w:rFonts w:hint="eastAsia"/>
          <w:color w:val="FF0000"/>
          <w:highlight w:val="yellow"/>
          <w:lang w:val="en-US" w:eastAsia="zh-CN"/>
        </w:rPr>
        <w:t>无关用药金额</w:t>
      </w:r>
      <w:r>
        <w:rPr>
          <w:rFonts w:hint="default"/>
          <w:lang w:val="en-US" w:eastAsia="zh-CN"/>
        </w:rPr>
        <w:t>）/元。公式不变，仅变更名称</w:t>
      </w:r>
      <w:r>
        <w:rPr>
          <w:rFonts w:hint="eastAsia"/>
          <w:lang w:val="en-US" w:eastAsia="zh-CN"/>
        </w:rPr>
        <w:t>。</w:t>
      </w:r>
    </w:p>
    <w:p w14:paraId="2D239C6D">
      <w:pPr>
        <w:numPr>
          <w:ilvl w:val="1"/>
          <w:numId w:val="7"/>
        </w:numPr>
        <w:ind w:left="840" w:leftChars="0" w:hanging="420" w:firstLineChars="0"/>
        <w:rPr>
          <w:rFonts w:hint="default"/>
          <w:lang w:val="en-US" w:eastAsia="zh-CN"/>
        </w:rPr>
      </w:pPr>
      <w:r>
        <w:rPr>
          <w:rFonts w:hint="eastAsia"/>
          <w:lang w:val="en-US" w:eastAsia="zh-CN"/>
        </w:rPr>
        <w:t>传平台时附加医保外用药金额取</w:t>
      </w:r>
      <w:r>
        <w:rPr>
          <w:rFonts w:hint="eastAsia"/>
          <w:color w:val="0000FF"/>
          <w:u w:val="single"/>
          <w:lang w:val="en-US" w:eastAsia="zh-CN"/>
        </w:rPr>
        <w:t>附加医保外医疗金额</w:t>
      </w:r>
      <w:r>
        <w:rPr>
          <w:rFonts w:hint="eastAsia"/>
          <w:lang w:val="en-US" w:eastAsia="zh-CN"/>
        </w:rPr>
        <w:t>上传。</w:t>
      </w:r>
    </w:p>
    <w:p w14:paraId="6F6EF99F">
      <w:pPr>
        <w:numPr>
          <w:ilvl w:val="1"/>
          <w:numId w:val="7"/>
        </w:numPr>
        <w:ind w:left="840" w:leftChars="0" w:hanging="420" w:firstLineChars="0"/>
        <w:rPr>
          <w:rFonts w:hint="default"/>
          <w:color w:val="FF0000"/>
          <w:lang w:val="en-US" w:eastAsia="zh-CN"/>
        </w:rPr>
      </w:pPr>
      <w:r>
        <w:rPr>
          <w:rFonts w:hint="default"/>
          <w:color w:val="FF0000"/>
          <w:lang w:val="en-US" w:eastAsia="zh-CN"/>
        </w:rPr>
        <w:t>附加医保外医疗金额的金额控制适用在所有人伤跟踪</w:t>
      </w:r>
      <w:r>
        <w:rPr>
          <w:rFonts w:hint="eastAsia"/>
          <w:color w:val="FF0000"/>
          <w:lang w:val="en-US" w:eastAsia="zh-CN"/>
        </w:rPr>
        <w:t>（含发起的人伤调查）</w:t>
      </w:r>
      <w:r>
        <w:rPr>
          <w:rFonts w:hint="default"/>
          <w:color w:val="FF0000"/>
          <w:lang w:val="en-US" w:eastAsia="zh-CN"/>
        </w:rPr>
        <w:t>阶段</w:t>
      </w:r>
      <w:r>
        <w:rPr>
          <w:rFonts w:hint="eastAsia"/>
          <w:color w:val="FF0000"/>
          <w:lang w:val="en-US" w:eastAsia="zh-CN"/>
        </w:rPr>
        <w:t>，控制为：</w:t>
      </w:r>
      <w:r>
        <w:rPr>
          <w:rFonts w:hint="eastAsia"/>
          <w:color w:val="FF0000"/>
          <w:highlight w:val="yellow"/>
          <w:u w:val="single"/>
          <w:lang w:val="en-US" w:eastAsia="zh-CN"/>
        </w:rPr>
        <w:t>附加医保外用药金额默认=</w:t>
      </w:r>
      <w:r>
        <w:rPr>
          <w:rFonts w:hint="eastAsia"/>
          <w:color w:val="FF0000"/>
          <w:highlight w:val="yellow"/>
          <w:lang w:val="en-US" w:eastAsia="zh-CN"/>
        </w:rPr>
        <w:t>非医保金额，</w:t>
      </w:r>
      <w:r>
        <w:rPr>
          <w:rFonts w:hint="eastAsia"/>
          <w:color w:val="FF0000"/>
          <w:lang w:val="en-US" w:eastAsia="zh-CN"/>
        </w:rPr>
        <w:t>可修改，修改范围为[0,非医保金额]</w:t>
      </w:r>
    </w:p>
    <w:p w14:paraId="2729D9CC">
      <w:pPr>
        <w:numPr>
          <w:ilvl w:val="0"/>
          <w:numId w:val="0"/>
        </w:numPr>
        <w:rPr>
          <w:rFonts w:hint="eastAsia"/>
          <w:color w:val="FF0000"/>
          <w:lang w:val="en-US" w:eastAsia="zh-CN"/>
        </w:rPr>
      </w:pPr>
      <w:r>
        <w:rPr>
          <w:rFonts w:hint="eastAsia"/>
          <w:color w:val="FF0000"/>
          <w:lang w:val="en-US" w:eastAsia="zh-CN"/>
        </w:rPr>
        <w:t>7月21日补充说明：</w:t>
      </w:r>
    </w:p>
    <w:p w14:paraId="2853DC7F">
      <w:pPr>
        <w:numPr>
          <w:ilvl w:val="0"/>
          <w:numId w:val="0"/>
        </w:numPr>
        <w:rPr>
          <w:rFonts w:hint="eastAsia"/>
          <w:color w:val="FF0000"/>
          <w:lang w:val="en-US" w:eastAsia="zh-CN"/>
        </w:rPr>
      </w:pPr>
      <w:r>
        <w:rPr>
          <w:rFonts w:hint="eastAsia"/>
          <w:color w:val="FF0000"/>
          <w:lang w:val="en-US" w:eastAsia="zh-CN"/>
        </w:rPr>
        <w:t>①关于跟踪类发起的人伤专项调查任务，也涉及到医疗费用公式，调整点同上述描述。</w:t>
      </w:r>
    </w:p>
    <w:p w14:paraId="0D631FE4">
      <w:pPr>
        <w:numPr>
          <w:ilvl w:val="0"/>
          <w:numId w:val="0"/>
        </w:numPr>
        <w:ind w:left="420" w:leftChars="0"/>
        <w:rPr>
          <w:rFonts w:hint="default"/>
          <w:lang w:val="en-US"/>
        </w:rPr>
      </w:pPr>
      <w:bookmarkStart w:id="39" w:name="_GoBack"/>
      <w:bookmarkEnd w:id="39"/>
    </w:p>
    <w:p w14:paraId="76FE3000">
      <w:pPr>
        <w:pStyle w:val="3"/>
        <w:rPr>
          <w:snapToGrid w:val="0"/>
          <w:kern w:val="0"/>
        </w:rPr>
      </w:pPr>
      <w:bookmarkStart w:id="27" w:name="_Toc19775"/>
      <w:bookmarkStart w:id="28" w:name="_Toc374005706"/>
      <w:r>
        <w:rPr>
          <w:rFonts w:hint="eastAsia"/>
          <w:snapToGrid w:val="0"/>
          <w:kern w:val="0"/>
        </w:rPr>
        <w:t>与外部系统接口</w:t>
      </w:r>
      <w:bookmarkEnd w:id="27"/>
      <w:bookmarkEnd w:id="28"/>
    </w:p>
    <w:p w14:paraId="119F1D1C">
      <w:pPr>
        <w:pStyle w:val="3"/>
        <w:rPr>
          <w:snapToGrid w:val="0"/>
          <w:kern w:val="0"/>
        </w:rPr>
      </w:pPr>
      <w:bookmarkStart w:id="29" w:name="_Toc25127"/>
      <w:bookmarkStart w:id="30" w:name="_Toc374005707"/>
      <w:r>
        <w:rPr>
          <w:rFonts w:hint="eastAsia"/>
          <w:snapToGrid w:val="0"/>
          <w:kern w:val="0"/>
        </w:rPr>
        <w:t>关联需求</w:t>
      </w:r>
      <w:bookmarkEnd w:id="29"/>
      <w:bookmarkEnd w:id="30"/>
    </w:p>
    <w:p w14:paraId="71FAD4C6">
      <w:pPr>
        <w:pStyle w:val="3"/>
        <w:rPr>
          <w:snapToGrid w:val="0"/>
          <w:kern w:val="0"/>
        </w:rPr>
      </w:pPr>
      <w:bookmarkStart w:id="31" w:name="_Toc10229"/>
      <w:r>
        <w:rPr>
          <w:rFonts w:hint="eastAsia"/>
          <w:snapToGrid w:val="0"/>
          <w:kern w:val="0"/>
        </w:rPr>
        <w:t>历史数据处理</w:t>
      </w:r>
      <w:bookmarkEnd w:id="31"/>
    </w:p>
    <w:p w14:paraId="101A6AF2">
      <w:pPr>
        <w:pStyle w:val="3"/>
        <w:rPr>
          <w:snapToGrid w:val="0"/>
          <w:kern w:val="0"/>
        </w:rPr>
      </w:pPr>
      <w:bookmarkStart w:id="32" w:name="_Toc16108"/>
      <w:r>
        <w:rPr>
          <w:rFonts w:hint="eastAsia"/>
          <w:snapToGrid w:val="0"/>
          <w:kern w:val="0"/>
        </w:rPr>
        <w:t>相关附件</w:t>
      </w:r>
      <w:bookmarkEnd w:id="32"/>
    </w:p>
    <w:tbl>
      <w:tblPr>
        <w:tblStyle w:val="24"/>
        <w:tblW w:w="8989" w:type="dxa"/>
        <w:tblInd w:w="3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0" w:type="dxa"/>
          <w:bottom w:w="0" w:type="dxa"/>
          <w:right w:w="30" w:type="dxa"/>
        </w:tblCellMar>
      </w:tblPr>
      <w:tblGrid>
        <w:gridCol w:w="1281"/>
        <w:gridCol w:w="3111"/>
        <w:gridCol w:w="2378"/>
        <w:gridCol w:w="2219"/>
      </w:tblGrid>
      <w:tr w14:paraId="1DD56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645" w:hRule="atLeast"/>
        </w:trPr>
        <w:tc>
          <w:tcPr>
            <w:tcW w:w="1281" w:type="dxa"/>
            <w:tcBorders>
              <w:top w:val="single" w:color="auto" w:sz="4" w:space="0"/>
              <w:left w:val="single" w:color="auto" w:sz="4" w:space="0"/>
              <w:bottom w:val="single" w:color="auto" w:sz="4" w:space="0"/>
              <w:right w:val="single" w:color="auto" w:sz="4" w:space="0"/>
            </w:tcBorders>
            <w:vAlign w:val="center"/>
          </w:tcPr>
          <w:p w14:paraId="3E0253B3">
            <w:pPr>
              <w:autoSpaceDE w:val="0"/>
              <w:autoSpaceDN w:val="0"/>
              <w:adjustRightInd w:val="0"/>
              <w:jc w:val="center"/>
              <w:rPr>
                <w:rFonts w:ascii="Arial" w:cs="Arial"/>
                <w:szCs w:val="21"/>
              </w:rPr>
            </w:pPr>
            <w:r>
              <w:rPr>
                <w:rFonts w:ascii="Arial" w:cs="Arial"/>
                <w:szCs w:val="21"/>
              </w:rPr>
              <w:t>No.</w:t>
            </w:r>
          </w:p>
        </w:tc>
        <w:tc>
          <w:tcPr>
            <w:tcW w:w="3111" w:type="dxa"/>
            <w:tcBorders>
              <w:top w:val="single" w:color="auto" w:sz="4" w:space="0"/>
              <w:left w:val="single" w:color="auto" w:sz="4" w:space="0"/>
              <w:bottom w:val="single" w:color="auto" w:sz="4" w:space="0"/>
              <w:right w:val="single" w:color="auto" w:sz="4" w:space="0"/>
            </w:tcBorders>
            <w:vAlign w:val="center"/>
          </w:tcPr>
          <w:p w14:paraId="6D41B6BF">
            <w:pPr>
              <w:autoSpaceDE w:val="0"/>
              <w:autoSpaceDN w:val="0"/>
              <w:adjustRightInd w:val="0"/>
              <w:jc w:val="center"/>
              <w:rPr>
                <w:rFonts w:ascii="Arial" w:hAnsi="Arial" w:cs="Arial"/>
                <w:szCs w:val="21"/>
              </w:rPr>
            </w:pPr>
            <w:r>
              <w:rPr>
                <w:rFonts w:hint="eastAsia" w:ascii="Arial" w:hAnsi="Arial" w:cs="Arial"/>
                <w:szCs w:val="21"/>
              </w:rPr>
              <w:t>资料名称</w:t>
            </w:r>
            <w:r>
              <w:rPr>
                <w:rFonts w:ascii="Arial" w:hAnsi="Arial" w:cs="Arial"/>
                <w:szCs w:val="21"/>
              </w:rPr>
              <w:t>/</w:t>
            </w:r>
            <w:r>
              <w:rPr>
                <w:rFonts w:hint="eastAsia" w:ascii="Arial" w:hAnsi="Arial" w:cs="Arial"/>
                <w:szCs w:val="21"/>
              </w:rPr>
              <w:t>版本</w:t>
            </w:r>
          </w:p>
        </w:tc>
        <w:tc>
          <w:tcPr>
            <w:tcW w:w="2378" w:type="dxa"/>
            <w:tcBorders>
              <w:top w:val="single" w:color="auto" w:sz="4" w:space="0"/>
              <w:left w:val="single" w:color="auto" w:sz="4" w:space="0"/>
              <w:bottom w:val="single" w:color="auto" w:sz="4" w:space="0"/>
              <w:right w:val="single" w:color="auto" w:sz="4" w:space="0"/>
            </w:tcBorders>
            <w:vAlign w:val="center"/>
          </w:tcPr>
          <w:p w14:paraId="00024CC5">
            <w:pPr>
              <w:autoSpaceDE w:val="0"/>
              <w:autoSpaceDN w:val="0"/>
              <w:adjustRightInd w:val="0"/>
              <w:jc w:val="center"/>
              <w:rPr>
                <w:rFonts w:ascii="Arial" w:hAnsi="Arial" w:cs="Arial"/>
                <w:szCs w:val="21"/>
              </w:rPr>
            </w:pPr>
            <w:r>
              <w:rPr>
                <w:rFonts w:hint="eastAsia" w:ascii="Arial" w:hAnsi="Arial" w:cs="Arial"/>
                <w:szCs w:val="21"/>
              </w:rPr>
              <w:t>资料标识</w:t>
            </w:r>
          </w:p>
        </w:tc>
        <w:tc>
          <w:tcPr>
            <w:tcW w:w="2219" w:type="dxa"/>
            <w:tcBorders>
              <w:top w:val="single" w:color="auto" w:sz="4" w:space="0"/>
              <w:left w:val="single" w:color="auto" w:sz="4" w:space="0"/>
              <w:bottom w:val="single" w:color="auto" w:sz="4" w:space="0"/>
              <w:right w:val="single" w:color="auto" w:sz="4" w:space="0"/>
            </w:tcBorders>
            <w:vAlign w:val="center"/>
          </w:tcPr>
          <w:p w14:paraId="4B35F4A9">
            <w:pPr>
              <w:autoSpaceDE w:val="0"/>
              <w:autoSpaceDN w:val="0"/>
              <w:adjustRightInd w:val="0"/>
              <w:jc w:val="center"/>
              <w:rPr>
                <w:rFonts w:ascii="Arial" w:hAnsi="Arial" w:cs="Arial"/>
                <w:szCs w:val="21"/>
              </w:rPr>
            </w:pPr>
            <w:r>
              <w:rPr>
                <w:rFonts w:hint="eastAsia" w:ascii="Arial" w:hAnsi="Arial" w:cs="Arial"/>
                <w:szCs w:val="21"/>
              </w:rPr>
              <w:t>资料来源</w:t>
            </w:r>
          </w:p>
        </w:tc>
      </w:tr>
      <w:tr w14:paraId="7B163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645" w:hRule="atLeast"/>
        </w:trPr>
        <w:tc>
          <w:tcPr>
            <w:tcW w:w="1281" w:type="dxa"/>
            <w:tcBorders>
              <w:top w:val="single" w:color="auto" w:sz="4" w:space="0"/>
              <w:left w:val="single" w:color="auto" w:sz="4" w:space="0"/>
              <w:bottom w:val="single" w:color="auto" w:sz="4" w:space="0"/>
              <w:right w:val="single" w:color="auto" w:sz="4" w:space="0"/>
            </w:tcBorders>
            <w:vAlign w:val="center"/>
          </w:tcPr>
          <w:p w14:paraId="52D5D20C">
            <w:pPr>
              <w:autoSpaceDE w:val="0"/>
              <w:autoSpaceDN w:val="0"/>
              <w:adjustRightInd w:val="0"/>
              <w:jc w:val="center"/>
              <w:rPr>
                <w:rFonts w:ascii="Arial" w:cs="Arial"/>
                <w:szCs w:val="21"/>
              </w:rPr>
            </w:pPr>
            <w:r>
              <w:rPr>
                <w:rFonts w:ascii="Arial" w:cs="Arial"/>
                <w:szCs w:val="21"/>
              </w:rPr>
              <w:t>1</w:t>
            </w:r>
          </w:p>
        </w:tc>
        <w:tc>
          <w:tcPr>
            <w:tcW w:w="3111" w:type="dxa"/>
            <w:tcBorders>
              <w:top w:val="single" w:color="auto" w:sz="4" w:space="0"/>
              <w:left w:val="single" w:color="auto" w:sz="4" w:space="0"/>
              <w:bottom w:val="single" w:color="auto" w:sz="4" w:space="0"/>
              <w:right w:val="single" w:color="auto" w:sz="4" w:space="0"/>
            </w:tcBorders>
            <w:vAlign w:val="center"/>
          </w:tcPr>
          <w:p w14:paraId="12083AE3">
            <w:pPr>
              <w:autoSpaceDE w:val="0"/>
              <w:autoSpaceDN w:val="0"/>
              <w:adjustRightInd w:val="0"/>
              <w:rPr>
                <w:rFonts w:hint="default" w:ascii="Arial" w:hAnsi="Arial" w:eastAsia="宋体" w:cs="Arial"/>
                <w:szCs w:val="21"/>
                <w:lang w:val="en-US" w:eastAsia="zh-CN"/>
              </w:rPr>
            </w:pPr>
          </w:p>
        </w:tc>
        <w:tc>
          <w:tcPr>
            <w:tcW w:w="2378" w:type="dxa"/>
            <w:tcBorders>
              <w:top w:val="single" w:color="auto" w:sz="4" w:space="0"/>
              <w:left w:val="single" w:color="auto" w:sz="4" w:space="0"/>
              <w:bottom w:val="single" w:color="auto" w:sz="4" w:space="0"/>
              <w:right w:val="single" w:color="auto" w:sz="4" w:space="0"/>
            </w:tcBorders>
            <w:vAlign w:val="center"/>
          </w:tcPr>
          <w:p w14:paraId="2F2ACF06">
            <w:pPr>
              <w:autoSpaceDE w:val="0"/>
              <w:autoSpaceDN w:val="0"/>
              <w:adjustRightInd w:val="0"/>
              <w:jc w:val="center"/>
              <w:rPr>
                <w:rFonts w:hint="eastAsia" w:ascii="Arial" w:hAnsi="Arial" w:eastAsia="宋体" w:cs="Arial"/>
                <w:szCs w:val="21"/>
                <w:lang w:eastAsia="zh-CN"/>
              </w:rPr>
            </w:pPr>
          </w:p>
        </w:tc>
        <w:tc>
          <w:tcPr>
            <w:tcW w:w="2219" w:type="dxa"/>
            <w:tcBorders>
              <w:top w:val="single" w:color="auto" w:sz="4" w:space="0"/>
              <w:left w:val="single" w:color="auto" w:sz="4" w:space="0"/>
              <w:bottom w:val="single" w:color="auto" w:sz="4" w:space="0"/>
              <w:right w:val="single" w:color="auto" w:sz="4" w:space="0"/>
            </w:tcBorders>
            <w:vAlign w:val="center"/>
          </w:tcPr>
          <w:p w14:paraId="64428A6A">
            <w:pPr>
              <w:autoSpaceDE w:val="0"/>
              <w:autoSpaceDN w:val="0"/>
              <w:adjustRightInd w:val="0"/>
              <w:jc w:val="center"/>
              <w:rPr>
                <w:rFonts w:ascii="Arial" w:hAnsi="Arial" w:cs="Arial"/>
                <w:szCs w:val="21"/>
              </w:rPr>
            </w:pPr>
          </w:p>
        </w:tc>
      </w:tr>
      <w:tr w14:paraId="0AB8C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645" w:hRule="atLeast"/>
        </w:trPr>
        <w:tc>
          <w:tcPr>
            <w:tcW w:w="1281" w:type="dxa"/>
            <w:tcBorders>
              <w:top w:val="single" w:color="auto" w:sz="4" w:space="0"/>
              <w:left w:val="single" w:color="auto" w:sz="4" w:space="0"/>
              <w:bottom w:val="single" w:color="auto" w:sz="4" w:space="0"/>
              <w:right w:val="single" w:color="auto" w:sz="4" w:space="0"/>
            </w:tcBorders>
            <w:vAlign w:val="center"/>
          </w:tcPr>
          <w:p w14:paraId="47770E97">
            <w:pPr>
              <w:autoSpaceDE w:val="0"/>
              <w:autoSpaceDN w:val="0"/>
              <w:adjustRightInd w:val="0"/>
              <w:jc w:val="center"/>
              <w:rPr>
                <w:rFonts w:ascii="Arial" w:cs="Arial"/>
                <w:szCs w:val="21"/>
              </w:rPr>
            </w:pPr>
            <w:r>
              <w:rPr>
                <w:rFonts w:ascii="Arial" w:cs="Arial"/>
                <w:szCs w:val="21"/>
              </w:rPr>
              <w:t>2</w:t>
            </w:r>
          </w:p>
        </w:tc>
        <w:tc>
          <w:tcPr>
            <w:tcW w:w="3111" w:type="dxa"/>
            <w:tcBorders>
              <w:top w:val="single" w:color="auto" w:sz="4" w:space="0"/>
              <w:left w:val="single" w:color="auto" w:sz="4" w:space="0"/>
              <w:bottom w:val="single" w:color="auto" w:sz="4" w:space="0"/>
              <w:right w:val="single" w:color="auto" w:sz="4" w:space="0"/>
            </w:tcBorders>
            <w:vAlign w:val="center"/>
          </w:tcPr>
          <w:p w14:paraId="4204A7F2">
            <w:pPr>
              <w:autoSpaceDE w:val="0"/>
              <w:autoSpaceDN w:val="0"/>
              <w:adjustRightInd w:val="0"/>
              <w:rPr>
                <w:rFonts w:ascii="Arial" w:hAnsi="Arial" w:cs="Arial"/>
                <w:szCs w:val="21"/>
              </w:rPr>
            </w:pPr>
          </w:p>
        </w:tc>
        <w:tc>
          <w:tcPr>
            <w:tcW w:w="2378" w:type="dxa"/>
            <w:tcBorders>
              <w:top w:val="single" w:color="auto" w:sz="4" w:space="0"/>
              <w:left w:val="single" w:color="auto" w:sz="4" w:space="0"/>
              <w:bottom w:val="single" w:color="auto" w:sz="4" w:space="0"/>
              <w:right w:val="single" w:color="auto" w:sz="4" w:space="0"/>
            </w:tcBorders>
            <w:vAlign w:val="center"/>
          </w:tcPr>
          <w:p w14:paraId="4DC06935">
            <w:pPr>
              <w:autoSpaceDE w:val="0"/>
              <w:autoSpaceDN w:val="0"/>
              <w:adjustRightInd w:val="0"/>
              <w:jc w:val="center"/>
              <w:rPr>
                <w:rFonts w:ascii="Arial" w:hAnsi="Arial" w:cs="Arial"/>
                <w:szCs w:val="21"/>
              </w:rPr>
            </w:pPr>
          </w:p>
        </w:tc>
        <w:tc>
          <w:tcPr>
            <w:tcW w:w="2219" w:type="dxa"/>
            <w:tcBorders>
              <w:top w:val="single" w:color="auto" w:sz="4" w:space="0"/>
              <w:left w:val="single" w:color="auto" w:sz="4" w:space="0"/>
              <w:bottom w:val="single" w:color="auto" w:sz="4" w:space="0"/>
              <w:right w:val="single" w:color="auto" w:sz="4" w:space="0"/>
            </w:tcBorders>
            <w:vAlign w:val="center"/>
          </w:tcPr>
          <w:p w14:paraId="0DC45A84">
            <w:pPr>
              <w:autoSpaceDE w:val="0"/>
              <w:autoSpaceDN w:val="0"/>
              <w:adjustRightInd w:val="0"/>
              <w:jc w:val="center"/>
              <w:rPr>
                <w:rFonts w:ascii="Arial" w:hAnsi="Arial" w:cs="Arial"/>
                <w:szCs w:val="21"/>
              </w:rPr>
            </w:pPr>
          </w:p>
        </w:tc>
      </w:tr>
    </w:tbl>
    <w:p w14:paraId="25FFF13B"/>
    <w:p w14:paraId="0525FF77">
      <w:pPr>
        <w:pStyle w:val="2"/>
        <w:numPr>
          <w:ilvl w:val="0"/>
          <w:numId w:val="2"/>
        </w:numPr>
        <w:rPr>
          <w:rFonts w:ascii="黑体" w:hAnsi="黑体" w:eastAsia="黑体"/>
        </w:rPr>
      </w:pPr>
      <w:bookmarkStart w:id="33" w:name="_Toc7953"/>
      <w:bookmarkStart w:id="34" w:name="_Toc374005708"/>
      <w:r>
        <w:rPr>
          <w:rFonts w:hint="eastAsia" w:ascii="黑体" w:hAnsi="黑体" w:eastAsia="黑体"/>
        </w:rPr>
        <w:t>非功能性需求</w:t>
      </w:r>
      <w:bookmarkEnd w:id="33"/>
      <w:bookmarkEnd w:id="34"/>
    </w:p>
    <w:p w14:paraId="11668523">
      <w:pPr>
        <w:pStyle w:val="3"/>
        <w:rPr>
          <w:snapToGrid w:val="0"/>
          <w:kern w:val="0"/>
        </w:rPr>
      </w:pPr>
      <w:bookmarkStart w:id="35" w:name="_Toc374005715"/>
      <w:bookmarkStart w:id="36" w:name="_Toc13554"/>
      <w:bookmarkStart w:id="37" w:name="_Toc374005709"/>
      <w:r>
        <w:rPr>
          <w:rFonts w:hint="eastAsia"/>
          <w:snapToGrid w:val="0"/>
          <w:kern w:val="0"/>
        </w:rPr>
        <w:t>安全性需求</w:t>
      </w:r>
      <w:bookmarkEnd w:id="35"/>
      <w:bookmarkEnd w:id="36"/>
    </w:p>
    <w:p w14:paraId="69631886">
      <w:pPr>
        <w:adjustRightInd w:val="0"/>
        <w:spacing w:before="120" w:after="120"/>
        <w:rPr>
          <w:rFonts w:cs="Arial" w:asciiTheme="minorEastAsia" w:hAnsiTheme="minorEastAsia" w:eastAsiaTheme="minorEastAsia"/>
          <w:szCs w:val="21"/>
        </w:rPr>
      </w:pPr>
      <w:r>
        <w:rPr>
          <w:rFonts w:hint="eastAsia" w:cs="Arial" w:asciiTheme="minorEastAsia" w:hAnsiTheme="minorEastAsia" w:eastAsiaTheme="minorEastAsia"/>
          <w:szCs w:val="21"/>
        </w:rPr>
        <w:t>本需求的安全功能、安全设计、编码安全、安全测试、部署安全等应满足《信息技术部应用系统开发安全技术标准》的各项要求。</w:t>
      </w:r>
    </w:p>
    <w:p w14:paraId="1D101675">
      <w:pPr>
        <w:pStyle w:val="3"/>
        <w:rPr>
          <w:snapToGrid w:val="0"/>
          <w:kern w:val="0"/>
        </w:rPr>
      </w:pPr>
      <w:bookmarkStart w:id="38" w:name="_Toc8207"/>
      <w:r>
        <w:rPr>
          <w:rFonts w:hint="eastAsia"/>
          <w:snapToGrid w:val="0"/>
          <w:kern w:val="0"/>
        </w:rPr>
        <w:t>其他非功能性需求</w:t>
      </w:r>
      <w:bookmarkEnd w:id="38"/>
    </w:p>
    <w:bookmarkEnd w:id="37"/>
    <w:p w14:paraId="46D47893">
      <w:pPr>
        <w:adjustRightInd w:val="0"/>
        <w:spacing w:before="120" w:after="120"/>
        <w:rPr>
          <w:rFonts w:ascii="Arial" w:hAnsi="Arial" w:eastAsia="仿宋_GB2312" w:cs="Arial"/>
          <w:i/>
          <w:color w:val="0000FF"/>
          <w:sz w:val="24"/>
        </w:rPr>
      </w:pPr>
    </w:p>
    <w:sectPr>
      <w:headerReference r:id="rId4" w:type="first"/>
      <w:footerReference r:id="rId6" w:type="first"/>
      <w:headerReference r:id="rId3" w:type="default"/>
      <w:footerReference r:id="rId5"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Microsoft YaHei UI">
    <w:panose1 w:val="020B0503020204020204"/>
    <w:charset w:val="86"/>
    <w:family w:val="swiss"/>
    <w:pitch w:val="default"/>
    <w:sig w:usb0="80000287" w:usb1="2ACF3C50" w:usb2="00000016" w:usb3="00000000" w:csb0="0004001F" w:csb1="00000000"/>
  </w:font>
  <w:font w:name="隶书">
    <w:altName w:val="微软雅黑"/>
    <w:panose1 w:val="02010509060101010101"/>
    <w:charset w:val="86"/>
    <w:family w:val="modern"/>
    <w:pitch w:val="default"/>
    <w:sig w:usb0="00000000" w:usb1="00000000" w:usb2="0000000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Lucida Sans">
    <w:altName w:val="Lucida Sans Unicode"/>
    <w:panose1 w:val="020B0602030504020204"/>
    <w:charset w:val="00"/>
    <w:family w:val="swiss"/>
    <w:pitch w:val="default"/>
    <w:sig w:usb0="00000000" w:usb1="00000000" w:usb2="00000000" w:usb3="00000000" w:csb0="20000001"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Lucida Sans Unicode">
    <w:panose1 w:val="020B0602030504020204"/>
    <w:charset w:val="00"/>
    <w:family w:val="auto"/>
    <w:pitch w:val="default"/>
    <w:sig w:usb0="80001AFF" w:usb1="0000396B" w:usb2="00000000" w:usb3="00000000" w:csb0="200000BF" w:csb1="D7F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356D5D">
    <w:pPr>
      <w:pStyle w:val="17"/>
      <w:ind w:right="-40" w:firstLine="3870" w:firstLineChars="2150"/>
    </w:pPr>
    <w:r>
      <w:rPr>
        <w:rFonts w:hint="eastAsia"/>
        <w:szCs w:val="21"/>
      </w:rPr>
      <w:t>第</w:t>
    </w:r>
    <w:r>
      <w:rPr>
        <w:szCs w:val="21"/>
      </w:rPr>
      <w:t xml:space="preserve"> </w:t>
    </w:r>
    <w:r>
      <w:rPr>
        <w:szCs w:val="21"/>
      </w:rPr>
      <w:fldChar w:fldCharType="begin"/>
    </w:r>
    <w:r>
      <w:rPr>
        <w:szCs w:val="21"/>
      </w:rPr>
      <w:instrText xml:space="preserve"> PAGE </w:instrText>
    </w:r>
    <w:r>
      <w:rPr>
        <w:szCs w:val="21"/>
      </w:rPr>
      <w:fldChar w:fldCharType="separate"/>
    </w:r>
    <w:r>
      <w:rPr>
        <w:szCs w:val="21"/>
      </w:rPr>
      <w:t>1</w:t>
    </w:r>
    <w:r>
      <w:rPr>
        <w:szCs w:val="21"/>
      </w:rPr>
      <w:fldChar w:fldCharType="end"/>
    </w:r>
    <w:r>
      <w:rPr>
        <w:szCs w:val="21"/>
      </w:rPr>
      <w:t xml:space="preserve"> </w:t>
    </w:r>
    <w:r>
      <w:rPr>
        <w:rFonts w:hint="eastAsia"/>
        <w:szCs w:val="21"/>
      </w:rPr>
      <w:t>页</w:t>
    </w:r>
    <w:r>
      <w:rPr>
        <w:szCs w:val="21"/>
      </w:rPr>
      <w:t xml:space="preserve"> </w:t>
    </w:r>
    <w:r>
      <w:rPr>
        <w:rFonts w:hint="eastAsia"/>
        <w:szCs w:val="21"/>
      </w:rPr>
      <w:t>共</w:t>
    </w:r>
    <w:r>
      <w:rPr>
        <w:szCs w:val="21"/>
      </w:rPr>
      <w:t xml:space="preserve"> </w:t>
    </w:r>
    <w:r>
      <w:rPr>
        <w:szCs w:val="21"/>
      </w:rPr>
      <w:fldChar w:fldCharType="begin"/>
    </w:r>
    <w:r>
      <w:rPr>
        <w:szCs w:val="21"/>
      </w:rPr>
      <w:instrText xml:space="preserve"> NUMPAGES </w:instrText>
    </w:r>
    <w:r>
      <w:rPr>
        <w:szCs w:val="21"/>
      </w:rPr>
      <w:fldChar w:fldCharType="separate"/>
    </w:r>
    <w:r>
      <w:rPr>
        <w:szCs w:val="21"/>
      </w:rPr>
      <w:t>21</w:t>
    </w:r>
    <w:r>
      <w:rPr>
        <w:szCs w:val="21"/>
      </w:rPr>
      <w:fldChar w:fldCharType="end"/>
    </w:r>
    <w:r>
      <w:rPr>
        <w:szCs w:val="21"/>
      </w:rPr>
      <w:t xml:space="preserve"> </w:t>
    </w:r>
    <w:r>
      <w:rPr>
        <w:rFonts w:hint="eastAsia"/>
        <w:szCs w:val="21"/>
      </w:rPr>
      <w:t>页</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2991D7">
    <w:pPr>
      <w:pStyle w:val="17"/>
      <w:ind w:right="-40"/>
    </w:pPr>
    <w:r>
      <w:tab/>
    </w:r>
    <w:r>
      <w:tab/>
    </w:r>
  </w:p>
  <w:p w14:paraId="120C210D">
    <w:pPr>
      <w:pStyle w:val="17"/>
      <w:ind w:right="-40"/>
      <w:jc w:val="center"/>
    </w:pPr>
    <w:r>
      <w:rPr>
        <w:rFonts w:hint="eastAsia"/>
        <w:b/>
      </w:rPr>
      <w:t>版权所有，不得复制</w:t>
    </w:r>
  </w:p>
  <w:p w14:paraId="62A2D0DB">
    <w:pPr>
      <w:pStyle w:val="1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5CAB19">
    <w:pPr>
      <w:pStyle w:val="18"/>
      <w:ind w:right="400"/>
      <w:jc w:val="both"/>
      <w:rPr>
        <w:b/>
        <w:sz w:val="20"/>
      </w:rPr>
    </w:pPr>
    <w:r>
      <w:drawing>
        <wp:inline distT="0" distB="0" distL="0" distR="0">
          <wp:extent cx="1828800" cy="243840"/>
          <wp:effectExtent l="0" t="0" r="0" b="3810"/>
          <wp:docPr id="16" name="图片 6"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6"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828800" cy="243840"/>
                  </a:xfrm>
                  <a:prstGeom prst="rect">
                    <a:avLst/>
                  </a:prstGeom>
                  <a:noFill/>
                  <a:ln>
                    <a:noFill/>
                  </a:ln>
                </pic:spPr>
              </pic:pic>
            </a:graphicData>
          </a:graphic>
        </wp:inline>
      </w:drawing>
    </w:r>
    <w:r>
      <w:rPr>
        <w:b/>
        <w:sz w:val="20"/>
      </w:rPr>
      <w:t xml:space="preserve">                                    </w:t>
    </w:r>
    <w:r>
      <w:rPr>
        <w:rFonts w:hint="eastAsia"/>
        <w:b/>
        <w:sz w:val="20"/>
      </w:rPr>
      <w:t>需求说明书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235732">
    <w:pPr>
      <w:pStyle w:val="18"/>
      <w:pBdr>
        <w:bottom w:val="single" w:color="auto" w:sz="6" w:space="11"/>
      </w:pBdr>
      <w:ind w:right="-40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A9A836C"/>
    <w:multiLevelType w:val="multilevel"/>
    <w:tmpl w:val="BA9A836C"/>
    <w:lvl w:ilvl="0" w:tentative="0">
      <w:start w:val="1"/>
      <w:numFmt w:val="decimal"/>
      <w:lvlText w:val="%1."/>
      <w:lvlJc w:val="left"/>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D3E2AEBF"/>
    <w:multiLevelType w:val="singleLevel"/>
    <w:tmpl w:val="D3E2AEBF"/>
    <w:lvl w:ilvl="0" w:tentative="0">
      <w:start w:val="1"/>
      <w:numFmt w:val="bullet"/>
      <w:lvlText w:val=""/>
      <w:lvlJc w:val="left"/>
      <w:pPr>
        <w:tabs>
          <w:tab w:val="left" w:pos="420"/>
        </w:tabs>
        <w:ind w:left="840" w:hanging="420"/>
      </w:pPr>
      <w:rPr>
        <w:rFonts w:hint="default" w:ascii="Wingdings" w:hAnsi="Wingdings"/>
      </w:rPr>
    </w:lvl>
  </w:abstractNum>
  <w:abstractNum w:abstractNumId="2">
    <w:nsid w:val="DC59FBEA"/>
    <w:multiLevelType w:val="multilevel"/>
    <w:tmpl w:val="DC59FBEA"/>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rPr>
    </w:lvl>
    <w:lvl w:ilvl="3" w:tentative="0">
      <w:start w:val="1"/>
      <w:numFmt w:val="decimal"/>
      <w:suff w:val="nothing"/>
      <w:lvlText w:val="（%1.%2.%3.%4）"/>
      <w:lvlJc w:val="left"/>
      <w:pPr>
        <w:ind w:left="0" w:leftChars="0" w:firstLine="0" w:firstLineChars="0"/>
      </w:pPr>
      <w:rPr>
        <w:rFonts w:hint="default"/>
      </w:rPr>
    </w:lvl>
    <w:lvl w:ilvl="4" w:tentative="0">
      <w:start w:val="1"/>
      <w:numFmt w:val="decimal"/>
      <w:suff w:val="nothing"/>
      <w:lvlText w:val="（%1.%2.%3.%4.%5）"/>
      <w:lvlJc w:val="left"/>
      <w:pPr>
        <w:ind w:left="0" w:leftChars="0" w:firstLine="0" w:firstLineChars="0"/>
      </w:pPr>
      <w:rPr>
        <w:rFonts w:hint="default"/>
      </w:rPr>
    </w:lvl>
    <w:lvl w:ilvl="5" w:tentative="0">
      <w:start w:val="1"/>
      <w:numFmt w:val="decimal"/>
      <w:suff w:val="nothing"/>
      <w:lvlText w:val="（%1.%2.%3.%4.%5.%6）"/>
      <w:lvlJc w:val="left"/>
      <w:pPr>
        <w:ind w:left="0" w:leftChars="0" w:firstLine="0" w:firstLineChars="0"/>
      </w:pPr>
      <w:rPr>
        <w:rFonts w:hint="default"/>
      </w:rPr>
    </w:lvl>
    <w:lvl w:ilvl="6" w:tentative="0">
      <w:start w:val="1"/>
      <w:numFmt w:val="decimal"/>
      <w:suff w:val="nothing"/>
      <w:lvlText w:val="（%1.%2.%3.%4.%5.%6.%7）"/>
      <w:lvlJc w:val="left"/>
      <w:pPr>
        <w:ind w:left="0" w:leftChars="0" w:firstLine="0" w:firstLineChars="0"/>
      </w:pPr>
      <w:rPr>
        <w:rFonts w:hint="default"/>
      </w:rPr>
    </w:lvl>
    <w:lvl w:ilvl="7" w:tentative="0">
      <w:start w:val="1"/>
      <w:numFmt w:val="decimal"/>
      <w:suff w:val="nothing"/>
      <w:lvlText w:val="（%1.%2.%3.%4.%5.%6.%7.%8）"/>
      <w:lvlJc w:val="left"/>
      <w:pPr>
        <w:ind w:left="0" w:leftChars="0" w:firstLine="0" w:firstLineChars="0"/>
      </w:pPr>
      <w:rPr>
        <w:rFonts w:hint="default"/>
      </w:rPr>
    </w:lvl>
    <w:lvl w:ilvl="8" w:tentative="0">
      <w:start w:val="1"/>
      <w:numFmt w:val="decimal"/>
      <w:suff w:val="nothing"/>
      <w:lvlText w:val="（%1.%2.%3.%4.%5.%6.%7.%8.%9）"/>
      <w:lvlJc w:val="left"/>
      <w:pPr>
        <w:ind w:left="0" w:leftChars="0" w:firstLine="0" w:firstLineChars="0"/>
      </w:pPr>
      <w:rPr>
        <w:rFonts w:hint="default"/>
      </w:rPr>
    </w:lvl>
  </w:abstractNum>
  <w:abstractNum w:abstractNumId="3">
    <w:nsid w:val="E7EBB276"/>
    <w:multiLevelType w:val="singleLevel"/>
    <w:tmpl w:val="E7EBB276"/>
    <w:lvl w:ilvl="0" w:tentative="0">
      <w:start w:val="1"/>
      <w:numFmt w:val="decimal"/>
      <w:suff w:val="nothing"/>
      <w:lvlText w:val="%1、"/>
      <w:lvlJc w:val="left"/>
    </w:lvl>
  </w:abstractNum>
  <w:abstractNum w:abstractNumId="4">
    <w:nsid w:val="17252775"/>
    <w:multiLevelType w:val="multilevel"/>
    <w:tmpl w:val="17252775"/>
    <w:lvl w:ilvl="0" w:tentative="0">
      <w:start w:val="1"/>
      <w:numFmt w:val="decimal"/>
      <w:pStyle w:val="2"/>
      <w:lvlText w:val="%1."/>
      <w:lvlJc w:val="left"/>
      <w:pPr>
        <w:tabs>
          <w:tab w:val="left" w:pos="425"/>
        </w:tabs>
        <w:ind w:left="425" w:hanging="425"/>
      </w:pPr>
      <w:rPr>
        <w:rFonts w:hint="default" w:ascii="Arial" w:hAnsi="Arial" w:cs="Arial"/>
      </w:rPr>
    </w:lvl>
    <w:lvl w:ilvl="1" w:tentative="0">
      <w:start w:val="1"/>
      <w:numFmt w:val="decimal"/>
      <w:pStyle w:val="3"/>
      <w:lvlText w:val="%1.%2."/>
      <w:lvlJc w:val="left"/>
      <w:pPr>
        <w:tabs>
          <w:tab w:val="left" w:pos="567"/>
        </w:tabs>
        <w:ind w:left="567" w:hanging="567"/>
      </w:pPr>
    </w:lvl>
    <w:lvl w:ilvl="2" w:tentative="0">
      <w:start w:val="1"/>
      <w:numFmt w:val="decimal"/>
      <w:pStyle w:val="4"/>
      <w:lvlText w:val="%1.%2.%3."/>
      <w:lvlJc w:val="left"/>
      <w:pPr>
        <w:tabs>
          <w:tab w:val="left" w:pos="709"/>
        </w:tabs>
        <w:ind w:left="709" w:hanging="709"/>
      </w:pPr>
      <w:rPr>
        <w:rFonts w:hint="default" w:ascii="Arial" w:hAnsi="Arial" w:cs="Arial"/>
      </w:rPr>
    </w:lvl>
    <w:lvl w:ilvl="3" w:tentative="0">
      <w:start w:val="1"/>
      <w:numFmt w:val="decimal"/>
      <w:lvlText w:val="%1.%2.%3.%4."/>
      <w:lvlJc w:val="left"/>
      <w:pPr>
        <w:tabs>
          <w:tab w:val="left" w:pos="851"/>
        </w:tabs>
        <w:ind w:left="851" w:hanging="851"/>
      </w:pPr>
    </w:lvl>
    <w:lvl w:ilvl="4" w:tentative="0">
      <w:start w:val="1"/>
      <w:numFmt w:val="decimal"/>
      <w:lvlText w:val="%1.%2.%3.%4.%5."/>
      <w:lvlJc w:val="left"/>
      <w:pPr>
        <w:tabs>
          <w:tab w:val="left" w:pos="992"/>
        </w:tabs>
        <w:ind w:left="992" w:hanging="992"/>
      </w:pPr>
    </w:lvl>
    <w:lvl w:ilvl="5" w:tentative="0">
      <w:start w:val="1"/>
      <w:numFmt w:val="decimal"/>
      <w:lvlText w:val="%1.%2.%3.%4.%5.%6."/>
      <w:lvlJc w:val="left"/>
      <w:pPr>
        <w:tabs>
          <w:tab w:val="left" w:pos="1134"/>
        </w:tabs>
        <w:ind w:left="1134" w:hanging="1134"/>
      </w:pPr>
    </w:lvl>
    <w:lvl w:ilvl="6" w:tentative="0">
      <w:start w:val="1"/>
      <w:numFmt w:val="decimal"/>
      <w:lvlText w:val="%1.%2.%3.%4.%5.%6.%7."/>
      <w:lvlJc w:val="left"/>
      <w:pPr>
        <w:tabs>
          <w:tab w:val="left" w:pos="1276"/>
        </w:tabs>
        <w:ind w:left="1276" w:hanging="1276"/>
      </w:pPr>
    </w:lvl>
    <w:lvl w:ilvl="7" w:tentative="0">
      <w:start w:val="1"/>
      <w:numFmt w:val="decimal"/>
      <w:lvlText w:val="%1.%2.%3.%4.%5.%6.%7.%8."/>
      <w:lvlJc w:val="left"/>
      <w:pPr>
        <w:tabs>
          <w:tab w:val="left" w:pos="1418"/>
        </w:tabs>
        <w:ind w:left="1418" w:hanging="1418"/>
      </w:pPr>
    </w:lvl>
    <w:lvl w:ilvl="8" w:tentative="0">
      <w:start w:val="1"/>
      <w:numFmt w:val="decimal"/>
      <w:lvlText w:val="%1.%2.%3.%4.%5.%6.%7.%8.%9."/>
      <w:lvlJc w:val="left"/>
      <w:pPr>
        <w:tabs>
          <w:tab w:val="left" w:pos="1559"/>
        </w:tabs>
        <w:ind w:left="1559" w:hanging="1559"/>
      </w:pPr>
    </w:lvl>
  </w:abstractNum>
  <w:abstractNum w:abstractNumId="5">
    <w:nsid w:val="2AAD5E8F"/>
    <w:multiLevelType w:val="multilevel"/>
    <w:tmpl w:val="2AAD5E8F"/>
    <w:lvl w:ilvl="0" w:tentative="0">
      <w:start w:val="1"/>
      <w:numFmt w:val="decimal"/>
      <w:lvlText w:val="%1."/>
      <w:lvlJc w:val="left"/>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6">
    <w:nsid w:val="5C0300FE"/>
    <w:multiLevelType w:val="multilevel"/>
    <w:tmpl w:val="5C0300FE"/>
    <w:lvl w:ilvl="0" w:tentative="0">
      <w:start w:val="1"/>
      <w:numFmt w:val="decimal"/>
      <w:lvlText w:val="%1."/>
      <w:lvlJc w:val="left"/>
      <w:pPr>
        <w:ind w:left="425" w:hanging="425"/>
      </w:pPr>
      <w:rPr>
        <w:rFonts w:hint="default"/>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7">
    <w:nsid w:val="6C1D69EB"/>
    <w:multiLevelType w:val="singleLevel"/>
    <w:tmpl w:val="6C1D69EB"/>
    <w:lvl w:ilvl="0" w:tentative="0">
      <w:start w:val="1"/>
      <w:numFmt w:val="decimal"/>
      <w:suff w:val="space"/>
      <w:lvlText w:val="%1."/>
      <w:lvlJc w:val="left"/>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5"/>
  </w:num>
  <w:num w:numId="5">
    <w:abstractNumId w:val="1"/>
  </w:num>
  <w:num w:numId="6">
    <w:abstractNumId w:val="2"/>
  </w:num>
  <w:num w:numId="7">
    <w:abstractNumId w:val="0"/>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30"/>
    <w:rsid w:val="000634B1"/>
    <w:rsid w:val="005E2730"/>
    <w:rsid w:val="006B0CF3"/>
    <w:rsid w:val="008C7583"/>
    <w:rsid w:val="00A34A47"/>
    <w:rsid w:val="00A844AD"/>
    <w:rsid w:val="00AB6713"/>
    <w:rsid w:val="00CD6C9A"/>
    <w:rsid w:val="00FB4638"/>
    <w:rsid w:val="01C61097"/>
    <w:rsid w:val="01E726F4"/>
    <w:rsid w:val="01EA4629"/>
    <w:rsid w:val="0334789D"/>
    <w:rsid w:val="033D5F96"/>
    <w:rsid w:val="03467A7A"/>
    <w:rsid w:val="0462452E"/>
    <w:rsid w:val="04C630A7"/>
    <w:rsid w:val="04EE6171"/>
    <w:rsid w:val="05C60E53"/>
    <w:rsid w:val="05FB35B9"/>
    <w:rsid w:val="061D286A"/>
    <w:rsid w:val="06340386"/>
    <w:rsid w:val="06840264"/>
    <w:rsid w:val="06847D38"/>
    <w:rsid w:val="07FB307F"/>
    <w:rsid w:val="091C0493"/>
    <w:rsid w:val="0A2328C0"/>
    <w:rsid w:val="0A430380"/>
    <w:rsid w:val="0A827237"/>
    <w:rsid w:val="0AEB73DB"/>
    <w:rsid w:val="0B2F497F"/>
    <w:rsid w:val="0CFE46F5"/>
    <w:rsid w:val="0D093B48"/>
    <w:rsid w:val="0DF7383C"/>
    <w:rsid w:val="0ECC12D1"/>
    <w:rsid w:val="0F4929E7"/>
    <w:rsid w:val="0FFD7C8E"/>
    <w:rsid w:val="102E0E72"/>
    <w:rsid w:val="11A04334"/>
    <w:rsid w:val="11DF0A60"/>
    <w:rsid w:val="12614426"/>
    <w:rsid w:val="128759E3"/>
    <w:rsid w:val="12F2507E"/>
    <w:rsid w:val="15773146"/>
    <w:rsid w:val="158063CA"/>
    <w:rsid w:val="15CA5987"/>
    <w:rsid w:val="163937A7"/>
    <w:rsid w:val="186C142F"/>
    <w:rsid w:val="19670574"/>
    <w:rsid w:val="1A9D33F5"/>
    <w:rsid w:val="1BD619E1"/>
    <w:rsid w:val="1C8C02F2"/>
    <w:rsid w:val="1D017037"/>
    <w:rsid w:val="1DCA10D2"/>
    <w:rsid w:val="1E21497B"/>
    <w:rsid w:val="1F234F3D"/>
    <w:rsid w:val="1F3A4035"/>
    <w:rsid w:val="1F6B2440"/>
    <w:rsid w:val="20AF2801"/>
    <w:rsid w:val="20DB6517"/>
    <w:rsid w:val="216C6E3A"/>
    <w:rsid w:val="237A06E7"/>
    <w:rsid w:val="23D45E74"/>
    <w:rsid w:val="24126499"/>
    <w:rsid w:val="254E25E8"/>
    <w:rsid w:val="25974EE7"/>
    <w:rsid w:val="25C24D84"/>
    <w:rsid w:val="25EA2F9C"/>
    <w:rsid w:val="27897907"/>
    <w:rsid w:val="27E70AD2"/>
    <w:rsid w:val="282835C4"/>
    <w:rsid w:val="28384575"/>
    <w:rsid w:val="28510EC8"/>
    <w:rsid w:val="288D7D5C"/>
    <w:rsid w:val="28A22CAF"/>
    <w:rsid w:val="28CA642A"/>
    <w:rsid w:val="295249D2"/>
    <w:rsid w:val="2961371B"/>
    <w:rsid w:val="2AA131BA"/>
    <w:rsid w:val="2ADF2906"/>
    <w:rsid w:val="2B8E1AE0"/>
    <w:rsid w:val="2BFB337E"/>
    <w:rsid w:val="2C097578"/>
    <w:rsid w:val="2D142369"/>
    <w:rsid w:val="2D3E1194"/>
    <w:rsid w:val="2DC01BA9"/>
    <w:rsid w:val="2DD31BC2"/>
    <w:rsid w:val="2FC13683"/>
    <w:rsid w:val="300675C5"/>
    <w:rsid w:val="304D0D09"/>
    <w:rsid w:val="30560B7D"/>
    <w:rsid w:val="315947EF"/>
    <w:rsid w:val="31C679AA"/>
    <w:rsid w:val="31F41E38"/>
    <w:rsid w:val="3234700A"/>
    <w:rsid w:val="328E04C8"/>
    <w:rsid w:val="32DF0D23"/>
    <w:rsid w:val="33D068BE"/>
    <w:rsid w:val="35205EC9"/>
    <w:rsid w:val="356A2323"/>
    <w:rsid w:val="363264FF"/>
    <w:rsid w:val="36617CA1"/>
    <w:rsid w:val="36661A50"/>
    <w:rsid w:val="366F6862"/>
    <w:rsid w:val="36883480"/>
    <w:rsid w:val="36F079A3"/>
    <w:rsid w:val="37635B18"/>
    <w:rsid w:val="37967FF2"/>
    <w:rsid w:val="37FC5ED4"/>
    <w:rsid w:val="38080D1C"/>
    <w:rsid w:val="387C0726"/>
    <w:rsid w:val="39A93E39"/>
    <w:rsid w:val="39E15381"/>
    <w:rsid w:val="3A465B2C"/>
    <w:rsid w:val="3A6E54C1"/>
    <w:rsid w:val="3C0B4937"/>
    <w:rsid w:val="3D940A1F"/>
    <w:rsid w:val="3DA54918"/>
    <w:rsid w:val="3F7F1DF0"/>
    <w:rsid w:val="3FB6218B"/>
    <w:rsid w:val="40330B4E"/>
    <w:rsid w:val="40884D6D"/>
    <w:rsid w:val="40955117"/>
    <w:rsid w:val="41144286"/>
    <w:rsid w:val="41504D7F"/>
    <w:rsid w:val="42655072"/>
    <w:rsid w:val="44D7723E"/>
    <w:rsid w:val="45870599"/>
    <w:rsid w:val="46BE69A6"/>
    <w:rsid w:val="46F96400"/>
    <w:rsid w:val="47274CA6"/>
    <w:rsid w:val="482374AD"/>
    <w:rsid w:val="48515DC8"/>
    <w:rsid w:val="48636ED0"/>
    <w:rsid w:val="4A4259BC"/>
    <w:rsid w:val="4AB97C54"/>
    <w:rsid w:val="4F644633"/>
    <w:rsid w:val="4FC74839"/>
    <w:rsid w:val="52527E66"/>
    <w:rsid w:val="52AE35F5"/>
    <w:rsid w:val="53E93358"/>
    <w:rsid w:val="55067F3A"/>
    <w:rsid w:val="553749E8"/>
    <w:rsid w:val="56725887"/>
    <w:rsid w:val="567E4EEE"/>
    <w:rsid w:val="582E57DE"/>
    <w:rsid w:val="588673C8"/>
    <w:rsid w:val="59EF5D15"/>
    <w:rsid w:val="59F372B6"/>
    <w:rsid w:val="5A0B50DC"/>
    <w:rsid w:val="5A1267B4"/>
    <w:rsid w:val="5A2E2F5F"/>
    <w:rsid w:val="5A49507E"/>
    <w:rsid w:val="5B2A2BD4"/>
    <w:rsid w:val="5B4041A6"/>
    <w:rsid w:val="5B93247B"/>
    <w:rsid w:val="5CCA6534"/>
    <w:rsid w:val="5CF60894"/>
    <w:rsid w:val="5D8A0D65"/>
    <w:rsid w:val="5F2B0CC9"/>
    <w:rsid w:val="60383679"/>
    <w:rsid w:val="604D4C6F"/>
    <w:rsid w:val="60CC2286"/>
    <w:rsid w:val="60E23212"/>
    <w:rsid w:val="62371F2F"/>
    <w:rsid w:val="63D051F2"/>
    <w:rsid w:val="64C5571C"/>
    <w:rsid w:val="64C858B0"/>
    <w:rsid w:val="65FD6839"/>
    <w:rsid w:val="67C442DF"/>
    <w:rsid w:val="67FE2A02"/>
    <w:rsid w:val="685C6588"/>
    <w:rsid w:val="68DD1084"/>
    <w:rsid w:val="69D22DF1"/>
    <w:rsid w:val="6A14361B"/>
    <w:rsid w:val="6A2A361C"/>
    <w:rsid w:val="6B79100E"/>
    <w:rsid w:val="6B8D2F01"/>
    <w:rsid w:val="6C630724"/>
    <w:rsid w:val="6CD1426C"/>
    <w:rsid w:val="6D0540F4"/>
    <w:rsid w:val="6F0357BE"/>
    <w:rsid w:val="6FA34950"/>
    <w:rsid w:val="6FB3745E"/>
    <w:rsid w:val="707443AD"/>
    <w:rsid w:val="73751E5F"/>
    <w:rsid w:val="7375655F"/>
    <w:rsid w:val="740510C6"/>
    <w:rsid w:val="75226272"/>
    <w:rsid w:val="764A1A4E"/>
    <w:rsid w:val="77541A03"/>
    <w:rsid w:val="785E3A65"/>
    <w:rsid w:val="79E354B7"/>
    <w:rsid w:val="7A030673"/>
    <w:rsid w:val="7A3E76AA"/>
    <w:rsid w:val="7B05440C"/>
    <w:rsid w:val="7B226FCC"/>
    <w:rsid w:val="7B456752"/>
    <w:rsid w:val="7DAC7021"/>
    <w:rsid w:val="7E54544D"/>
    <w:rsid w:val="7EBB39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iPriority="39" w:name="toc 1"/>
    <w:lsdException w:qFormat="1" w:uiPriority="39" w:name="toc 2"/>
    <w:lsdException w:qFormat="1" w:uiPriority="39" w:name="toc 3"/>
    <w:lsdException w:uiPriority="0" w:name="toc 4"/>
    <w:lsdException w:uiPriority="0" w:name="toc 5"/>
    <w:lsdException w:uiPriority="0" w:name="toc 6"/>
    <w:lsdException w:uiPriority="0" w:name="toc 7"/>
    <w:lsdException w:uiPriority="0" w:name="toc 8"/>
    <w:lsdException w:uiPriority="0" w:name="toc 9"/>
    <w:lsdException w:qFormat="1" w:uiPriority="0" w:name="Normal Indent"/>
    <w:lsdException w:uiPriority="0" w:name="footnote text"/>
    <w:lsdException w:qFormat="1" w:uiPriority="0" w:name="annotation text"/>
    <w:lsdException w:qFormat="1" w:uiPriority="99" w:semiHidden="0" w:name="header"/>
    <w:lsdException w:qFormat="1"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qFormat="1" w:uiPriority="0" w:name="Body Text 3"/>
    <w:lsdException w:qFormat="1" w:uiPriority="0" w:name="Body Text Indent 2"/>
    <w:lsdException w:uiPriority="0" w:name="Body Text Indent 3"/>
    <w:lsdException w:uiPriority="0" w:name="Block Text"/>
    <w:lsdException w:qFormat="1" w:uiPriority="99" w:name="Hyperlink"/>
    <w:lsdException w:qFormat="1" w:uiPriority="0" w:name="FollowedHyperlink"/>
    <w:lsdException w:qFormat="1" w:unhideWhenUsed="0" w:uiPriority="0" w:semiHidden="0" w:name="Strong"/>
    <w:lsdException w:qFormat="1" w:unhideWhenUsed="0" w:uiPriority="0" w:semiHidden="0" w:name="Emphasis"/>
    <w:lsdException w:qFormat="1" w:uiPriority="0" w:name="Document Map"/>
    <w:lsdException w:qFormat="1" w:uiPriority="0" w:name="Plain Text"/>
    <w:lsdException w:uiPriority="0" w:name="E-mail Signature"/>
    <w:lsdException w:qFormat="1"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numPr>
        <w:ilvl w:val="0"/>
        <w:numId w:val="1"/>
      </w:numPr>
      <w:spacing w:before="340" w:after="330" w:line="576" w:lineRule="auto"/>
      <w:outlineLvl w:val="0"/>
    </w:pPr>
    <w:rPr>
      <w:rFonts w:eastAsia="Arial"/>
      <w:b/>
      <w:bCs/>
      <w:kern w:val="44"/>
      <w:sz w:val="32"/>
      <w:szCs w:val="44"/>
    </w:rPr>
  </w:style>
  <w:style w:type="paragraph" w:styleId="3">
    <w:name w:val="heading 2"/>
    <w:basedOn w:val="1"/>
    <w:next w:val="1"/>
    <w:link w:val="31"/>
    <w:qFormat/>
    <w:uiPriority w:val="0"/>
    <w:pPr>
      <w:keepNext/>
      <w:keepLines/>
      <w:numPr>
        <w:ilvl w:val="1"/>
        <w:numId w:val="1"/>
      </w:numPr>
      <w:spacing w:before="260" w:after="260" w:line="415" w:lineRule="auto"/>
      <w:outlineLvl w:val="1"/>
    </w:pPr>
    <w:rPr>
      <w:rFonts w:ascii="Arial" w:hAnsi="Arial" w:eastAsia="黑体"/>
      <w:b/>
      <w:bCs/>
      <w:sz w:val="28"/>
      <w:szCs w:val="32"/>
    </w:rPr>
  </w:style>
  <w:style w:type="paragraph" w:styleId="4">
    <w:name w:val="heading 3"/>
    <w:basedOn w:val="1"/>
    <w:next w:val="1"/>
    <w:link w:val="32"/>
    <w:qFormat/>
    <w:uiPriority w:val="0"/>
    <w:pPr>
      <w:keepNext/>
      <w:keepLines/>
      <w:numPr>
        <w:ilvl w:val="2"/>
        <w:numId w:val="1"/>
      </w:numPr>
      <w:spacing w:before="260" w:after="260" w:line="415" w:lineRule="auto"/>
      <w:outlineLvl w:val="2"/>
    </w:pPr>
    <w:rPr>
      <w:b/>
      <w:bCs/>
      <w:szCs w:val="32"/>
    </w:rPr>
  </w:style>
  <w:style w:type="paragraph" w:styleId="5">
    <w:name w:val="heading 4"/>
    <w:basedOn w:val="1"/>
    <w:next w:val="1"/>
    <w:link w:val="33"/>
    <w:semiHidden/>
    <w:unhideWhenUsed/>
    <w:qFormat/>
    <w:uiPriority w:val="0"/>
    <w:pPr>
      <w:keepNext/>
      <w:keepLines/>
      <w:spacing w:before="280" w:after="290" w:line="374" w:lineRule="auto"/>
      <w:outlineLvl w:val="3"/>
    </w:pPr>
    <w:rPr>
      <w:rFonts w:asciiTheme="majorHAnsi" w:hAnsiTheme="majorHAnsi" w:eastAsiaTheme="majorEastAsia" w:cstheme="majorBidi"/>
      <w:b/>
      <w:bCs/>
      <w:sz w:val="28"/>
      <w:szCs w:val="28"/>
    </w:rPr>
  </w:style>
  <w:style w:type="paragraph" w:styleId="6">
    <w:name w:val="heading 5"/>
    <w:basedOn w:val="1"/>
    <w:next w:val="1"/>
    <w:link w:val="34"/>
    <w:semiHidden/>
    <w:unhideWhenUsed/>
    <w:qFormat/>
    <w:uiPriority w:val="0"/>
    <w:pPr>
      <w:keepNext/>
      <w:keepLines/>
      <w:spacing w:before="280" w:after="290" w:line="374" w:lineRule="auto"/>
      <w:outlineLvl w:val="4"/>
    </w:pPr>
    <w:rPr>
      <w:b/>
      <w:bCs/>
      <w:sz w:val="28"/>
      <w:szCs w:val="28"/>
    </w:r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7">
    <w:name w:val="Normal Indent"/>
    <w:basedOn w:val="1"/>
    <w:semiHidden/>
    <w:unhideWhenUsed/>
    <w:qFormat/>
    <w:uiPriority w:val="0"/>
    <w:pPr>
      <w:snapToGrid w:val="0"/>
      <w:spacing w:beforeLines="60"/>
      <w:ind w:firstLine="256" w:firstLineChars="256"/>
      <w:jc w:val="left"/>
    </w:pPr>
    <w:rPr>
      <w:rFonts w:ascii="宋体"/>
      <w:kern w:val="0"/>
      <w:szCs w:val="20"/>
    </w:rPr>
  </w:style>
  <w:style w:type="paragraph" w:styleId="8">
    <w:name w:val="Document Map"/>
    <w:basedOn w:val="1"/>
    <w:link w:val="43"/>
    <w:semiHidden/>
    <w:unhideWhenUsed/>
    <w:qFormat/>
    <w:uiPriority w:val="0"/>
    <w:pPr>
      <w:shd w:val="clear" w:color="auto" w:fill="000080"/>
    </w:pPr>
  </w:style>
  <w:style w:type="paragraph" w:styleId="9">
    <w:name w:val="annotation text"/>
    <w:basedOn w:val="1"/>
    <w:link w:val="35"/>
    <w:semiHidden/>
    <w:unhideWhenUsed/>
    <w:qFormat/>
    <w:uiPriority w:val="0"/>
    <w:pPr>
      <w:jc w:val="left"/>
    </w:pPr>
  </w:style>
  <w:style w:type="paragraph" w:styleId="10">
    <w:name w:val="Body Text 3"/>
    <w:basedOn w:val="1"/>
    <w:link w:val="41"/>
    <w:semiHidden/>
    <w:unhideWhenUsed/>
    <w:qFormat/>
    <w:uiPriority w:val="0"/>
    <w:pPr>
      <w:spacing w:after="120"/>
    </w:pPr>
    <w:rPr>
      <w:sz w:val="16"/>
      <w:szCs w:val="16"/>
    </w:rPr>
  </w:style>
  <w:style w:type="paragraph" w:styleId="11">
    <w:name w:val="Body Text"/>
    <w:basedOn w:val="1"/>
    <w:link w:val="39"/>
    <w:semiHidden/>
    <w:unhideWhenUsed/>
    <w:qFormat/>
    <w:uiPriority w:val="0"/>
    <w:pPr>
      <w:widowControl/>
      <w:spacing w:line="360" w:lineRule="auto"/>
      <w:jc w:val="left"/>
    </w:pPr>
    <w:rPr>
      <w:rFonts w:ascii="Calibri" w:hAnsi="Calibri"/>
      <w:b/>
      <w:kern w:val="0"/>
      <w:sz w:val="32"/>
      <w:szCs w:val="20"/>
      <w:lang w:eastAsia="en-US"/>
    </w:rPr>
  </w:style>
  <w:style w:type="paragraph" w:styleId="12">
    <w:name w:val="toc 3"/>
    <w:basedOn w:val="1"/>
    <w:next w:val="1"/>
    <w:semiHidden/>
    <w:unhideWhenUsed/>
    <w:qFormat/>
    <w:uiPriority w:val="39"/>
    <w:pPr>
      <w:ind w:left="840" w:leftChars="400"/>
    </w:pPr>
  </w:style>
  <w:style w:type="paragraph" w:styleId="13">
    <w:name w:val="Plain Text"/>
    <w:basedOn w:val="1"/>
    <w:link w:val="44"/>
    <w:semiHidden/>
    <w:unhideWhenUsed/>
    <w:qFormat/>
    <w:uiPriority w:val="0"/>
    <w:rPr>
      <w:rFonts w:ascii="宋体" w:hAnsi="Courier New"/>
      <w:sz w:val="24"/>
      <w:szCs w:val="20"/>
    </w:rPr>
  </w:style>
  <w:style w:type="paragraph" w:styleId="14">
    <w:name w:val="Date"/>
    <w:basedOn w:val="1"/>
    <w:next w:val="1"/>
    <w:link w:val="40"/>
    <w:qFormat/>
    <w:uiPriority w:val="0"/>
    <w:pPr>
      <w:ind w:left="100" w:leftChars="2500"/>
    </w:pPr>
  </w:style>
  <w:style w:type="paragraph" w:styleId="15">
    <w:name w:val="Body Text Indent 2"/>
    <w:basedOn w:val="1"/>
    <w:link w:val="42"/>
    <w:semiHidden/>
    <w:unhideWhenUsed/>
    <w:qFormat/>
    <w:uiPriority w:val="0"/>
    <w:pPr>
      <w:spacing w:after="120" w:line="480" w:lineRule="auto"/>
      <w:ind w:left="420" w:leftChars="200"/>
    </w:pPr>
  </w:style>
  <w:style w:type="paragraph" w:styleId="16">
    <w:name w:val="Balloon Text"/>
    <w:basedOn w:val="1"/>
    <w:link w:val="46"/>
    <w:semiHidden/>
    <w:unhideWhenUsed/>
    <w:qFormat/>
    <w:uiPriority w:val="0"/>
    <w:rPr>
      <w:sz w:val="18"/>
      <w:szCs w:val="18"/>
    </w:rPr>
  </w:style>
  <w:style w:type="paragraph" w:styleId="17">
    <w:name w:val="footer"/>
    <w:basedOn w:val="1"/>
    <w:link w:val="37"/>
    <w:unhideWhenUsed/>
    <w:qFormat/>
    <w:uiPriority w:val="0"/>
    <w:pPr>
      <w:tabs>
        <w:tab w:val="center" w:pos="4153"/>
        <w:tab w:val="right" w:pos="8306"/>
      </w:tabs>
      <w:snapToGrid w:val="0"/>
      <w:jc w:val="left"/>
    </w:pPr>
    <w:rPr>
      <w:sz w:val="18"/>
      <w:szCs w:val="18"/>
    </w:rPr>
  </w:style>
  <w:style w:type="paragraph" w:styleId="18">
    <w:name w:val="header"/>
    <w:basedOn w:val="1"/>
    <w:link w:val="36"/>
    <w:unhideWhenUsed/>
    <w:qFormat/>
    <w:uiPriority w:val="99"/>
    <w:pPr>
      <w:pBdr>
        <w:bottom w:val="single" w:color="auto" w:sz="6" w:space="1"/>
      </w:pBdr>
      <w:tabs>
        <w:tab w:val="center" w:pos="4153"/>
        <w:tab w:val="right" w:pos="8306"/>
      </w:tabs>
      <w:snapToGrid w:val="0"/>
      <w:jc w:val="center"/>
    </w:pPr>
    <w:rPr>
      <w:sz w:val="18"/>
      <w:szCs w:val="18"/>
    </w:rPr>
  </w:style>
  <w:style w:type="paragraph" w:styleId="19">
    <w:name w:val="toc 1"/>
    <w:basedOn w:val="1"/>
    <w:next w:val="1"/>
    <w:semiHidden/>
    <w:unhideWhenUsed/>
    <w:qFormat/>
    <w:uiPriority w:val="39"/>
  </w:style>
  <w:style w:type="paragraph" w:styleId="20">
    <w:name w:val="toc 2"/>
    <w:basedOn w:val="1"/>
    <w:next w:val="1"/>
    <w:semiHidden/>
    <w:unhideWhenUsed/>
    <w:qFormat/>
    <w:uiPriority w:val="39"/>
    <w:pPr>
      <w:ind w:left="420" w:leftChars="200"/>
    </w:pPr>
  </w:style>
  <w:style w:type="paragraph" w:styleId="21">
    <w:name w:val="Normal (Web)"/>
    <w:basedOn w:val="1"/>
    <w:semiHidden/>
    <w:unhideWhenUsed/>
    <w:qFormat/>
    <w:uiPriority w:val="0"/>
    <w:pPr>
      <w:spacing w:before="0" w:beforeAutospacing="1" w:after="0" w:afterAutospacing="1"/>
      <w:ind w:left="0" w:right="0"/>
      <w:jc w:val="left"/>
    </w:pPr>
    <w:rPr>
      <w:kern w:val="0"/>
      <w:sz w:val="24"/>
      <w:lang w:val="en-US" w:eastAsia="zh-CN" w:bidi="ar"/>
    </w:rPr>
  </w:style>
  <w:style w:type="paragraph" w:styleId="22">
    <w:name w:val="Title"/>
    <w:basedOn w:val="1"/>
    <w:next w:val="1"/>
    <w:link w:val="38"/>
    <w:qFormat/>
    <w:uiPriority w:val="0"/>
    <w:pPr>
      <w:snapToGrid w:val="0"/>
      <w:jc w:val="center"/>
    </w:pPr>
    <w:rPr>
      <w:rFonts w:ascii="宋体"/>
      <w:b/>
      <w:kern w:val="0"/>
      <w:sz w:val="36"/>
      <w:szCs w:val="20"/>
    </w:rPr>
  </w:style>
  <w:style w:type="paragraph" w:styleId="23">
    <w:name w:val="annotation subject"/>
    <w:basedOn w:val="9"/>
    <w:next w:val="9"/>
    <w:link w:val="45"/>
    <w:semiHidden/>
    <w:unhideWhenUsed/>
    <w:qFormat/>
    <w:uiPriority w:val="0"/>
    <w:rPr>
      <w:b/>
      <w:bCs/>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7">
    <w:name w:val="FollowedHyperlink"/>
    <w:basedOn w:val="26"/>
    <w:semiHidden/>
    <w:unhideWhenUsed/>
    <w:qFormat/>
    <w:uiPriority w:val="0"/>
    <w:rPr>
      <w:color w:val="800080" w:themeColor="followedHyperlink"/>
      <w:u w:val="single"/>
      <w14:textFill>
        <w14:solidFill>
          <w14:schemeClr w14:val="folHlink"/>
        </w14:solidFill>
      </w14:textFill>
    </w:rPr>
  </w:style>
  <w:style w:type="character" w:styleId="28">
    <w:name w:val="Hyperlink"/>
    <w:basedOn w:val="26"/>
    <w:semiHidden/>
    <w:unhideWhenUsed/>
    <w:qFormat/>
    <w:uiPriority w:val="99"/>
    <w:rPr>
      <w:color w:val="0000FF"/>
      <w:u w:val="single"/>
    </w:rPr>
  </w:style>
  <w:style w:type="character" w:styleId="29">
    <w:name w:val="annotation reference"/>
    <w:basedOn w:val="26"/>
    <w:semiHidden/>
    <w:unhideWhenUsed/>
    <w:qFormat/>
    <w:uiPriority w:val="0"/>
    <w:rPr>
      <w:sz w:val="21"/>
      <w:szCs w:val="21"/>
    </w:rPr>
  </w:style>
  <w:style w:type="character" w:customStyle="1" w:styleId="30">
    <w:name w:val="标题 1 Char"/>
    <w:basedOn w:val="26"/>
    <w:qFormat/>
    <w:uiPriority w:val="0"/>
    <w:rPr>
      <w:rFonts w:hint="eastAsia" w:ascii="宋体" w:hAnsi="宋体" w:eastAsia="宋体"/>
      <w:b/>
      <w:snapToGrid/>
      <w:sz w:val="28"/>
      <w:lang w:val="en-US" w:eastAsia="zh-CN" w:bidi="ar-SA"/>
    </w:rPr>
  </w:style>
  <w:style w:type="character" w:customStyle="1" w:styleId="31">
    <w:name w:val="标题 2 Char"/>
    <w:link w:val="3"/>
    <w:qFormat/>
    <w:locked/>
    <w:uiPriority w:val="0"/>
    <w:rPr>
      <w:rFonts w:hint="default" w:ascii="Arial" w:hAnsi="Arial" w:eastAsia="黑体" w:cs="Arial"/>
      <w:b/>
      <w:bCs/>
      <w:kern w:val="2"/>
      <w:sz w:val="28"/>
      <w:szCs w:val="32"/>
    </w:rPr>
  </w:style>
  <w:style w:type="character" w:customStyle="1" w:styleId="32">
    <w:name w:val="标题 3 Char"/>
    <w:link w:val="4"/>
    <w:qFormat/>
    <w:locked/>
    <w:uiPriority w:val="0"/>
    <w:rPr>
      <w:b/>
      <w:bCs/>
      <w:kern w:val="2"/>
      <w:sz w:val="21"/>
      <w:szCs w:val="32"/>
    </w:rPr>
  </w:style>
  <w:style w:type="character" w:customStyle="1" w:styleId="33">
    <w:name w:val="标题 4 Char"/>
    <w:basedOn w:val="26"/>
    <w:link w:val="5"/>
    <w:semiHidden/>
    <w:qFormat/>
    <w:locked/>
    <w:uiPriority w:val="0"/>
    <w:rPr>
      <w:rFonts w:hint="default" w:asciiTheme="majorHAnsi" w:hAnsiTheme="majorHAnsi" w:eastAsiaTheme="majorEastAsia" w:cstheme="majorBidi"/>
      <w:b/>
      <w:bCs/>
      <w:kern w:val="2"/>
      <w:sz w:val="28"/>
      <w:szCs w:val="28"/>
    </w:rPr>
  </w:style>
  <w:style w:type="character" w:customStyle="1" w:styleId="34">
    <w:name w:val="标题 5 Char"/>
    <w:basedOn w:val="26"/>
    <w:link w:val="6"/>
    <w:semiHidden/>
    <w:qFormat/>
    <w:locked/>
    <w:uiPriority w:val="0"/>
    <w:rPr>
      <w:b/>
      <w:bCs/>
      <w:kern w:val="2"/>
      <w:sz w:val="28"/>
      <w:szCs w:val="28"/>
    </w:rPr>
  </w:style>
  <w:style w:type="character" w:customStyle="1" w:styleId="35">
    <w:name w:val="批注文字 Char"/>
    <w:basedOn w:val="26"/>
    <w:link w:val="9"/>
    <w:semiHidden/>
    <w:qFormat/>
    <w:locked/>
    <w:uiPriority w:val="0"/>
    <w:rPr>
      <w:kern w:val="2"/>
      <w:sz w:val="21"/>
      <w:szCs w:val="24"/>
    </w:rPr>
  </w:style>
  <w:style w:type="character" w:customStyle="1" w:styleId="36">
    <w:name w:val="页眉 Char"/>
    <w:basedOn w:val="26"/>
    <w:link w:val="18"/>
    <w:qFormat/>
    <w:locked/>
    <w:uiPriority w:val="99"/>
    <w:rPr>
      <w:kern w:val="2"/>
      <w:sz w:val="18"/>
      <w:szCs w:val="18"/>
    </w:rPr>
  </w:style>
  <w:style w:type="character" w:customStyle="1" w:styleId="37">
    <w:name w:val="页脚 Char"/>
    <w:basedOn w:val="26"/>
    <w:link w:val="17"/>
    <w:qFormat/>
    <w:uiPriority w:val="0"/>
    <w:rPr>
      <w:kern w:val="2"/>
      <w:sz w:val="18"/>
      <w:szCs w:val="18"/>
    </w:rPr>
  </w:style>
  <w:style w:type="character" w:customStyle="1" w:styleId="38">
    <w:name w:val="标题 Char"/>
    <w:basedOn w:val="26"/>
    <w:link w:val="22"/>
    <w:qFormat/>
    <w:uiPriority w:val="0"/>
    <w:rPr>
      <w:rFonts w:asciiTheme="majorHAnsi" w:hAnsiTheme="majorHAnsi" w:cstheme="majorBidi"/>
      <w:b/>
      <w:bCs/>
      <w:kern w:val="2"/>
      <w:sz w:val="32"/>
      <w:szCs w:val="32"/>
    </w:rPr>
  </w:style>
  <w:style w:type="character" w:customStyle="1" w:styleId="39">
    <w:name w:val="正文文本 Char"/>
    <w:basedOn w:val="26"/>
    <w:link w:val="11"/>
    <w:semiHidden/>
    <w:qFormat/>
    <w:locked/>
    <w:uiPriority w:val="0"/>
    <w:rPr>
      <w:rFonts w:hint="default" w:ascii="Calibri" w:hAnsi="Calibri" w:cs="Calibri"/>
      <w:b/>
      <w:sz w:val="32"/>
      <w:lang w:eastAsia="en-US"/>
    </w:rPr>
  </w:style>
  <w:style w:type="character" w:customStyle="1" w:styleId="40">
    <w:name w:val="日期 Char"/>
    <w:basedOn w:val="26"/>
    <w:link w:val="14"/>
    <w:qFormat/>
    <w:locked/>
    <w:uiPriority w:val="0"/>
    <w:rPr>
      <w:kern w:val="2"/>
      <w:sz w:val="21"/>
      <w:szCs w:val="24"/>
    </w:rPr>
  </w:style>
  <w:style w:type="character" w:customStyle="1" w:styleId="41">
    <w:name w:val="正文文本 3 Char"/>
    <w:basedOn w:val="26"/>
    <w:link w:val="10"/>
    <w:semiHidden/>
    <w:qFormat/>
    <w:locked/>
    <w:uiPriority w:val="0"/>
    <w:rPr>
      <w:kern w:val="2"/>
      <w:sz w:val="16"/>
      <w:szCs w:val="16"/>
    </w:rPr>
  </w:style>
  <w:style w:type="character" w:customStyle="1" w:styleId="42">
    <w:name w:val="正文文本缩进 2 Char"/>
    <w:basedOn w:val="26"/>
    <w:link w:val="15"/>
    <w:semiHidden/>
    <w:qFormat/>
    <w:locked/>
    <w:uiPriority w:val="0"/>
    <w:rPr>
      <w:kern w:val="2"/>
      <w:sz w:val="21"/>
      <w:szCs w:val="24"/>
    </w:rPr>
  </w:style>
  <w:style w:type="character" w:customStyle="1" w:styleId="43">
    <w:name w:val="文档结构图 Char"/>
    <w:basedOn w:val="26"/>
    <w:link w:val="8"/>
    <w:semiHidden/>
    <w:qFormat/>
    <w:uiPriority w:val="0"/>
    <w:rPr>
      <w:rFonts w:ascii="Microsoft YaHei UI" w:eastAsia="Microsoft YaHei UI"/>
      <w:kern w:val="2"/>
      <w:sz w:val="18"/>
      <w:szCs w:val="18"/>
    </w:rPr>
  </w:style>
  <w:style w:type="character" w:customStyle="1" w:styleId="44">
    <w:name w:val="纯文本 Char"/>
    <w:basedOn w:val="26"/>
    <w:link w:val="13"/>
    <w:semiHidden/>
    <w:qFormat/>
    <w:locked/>
    <w:uiPriority w:val="0"/>
    <w:rPr>
      <w:rFonts w:hint="eastAsia" w:ascii="宋体" w:hAnsi="Courier New" w:eastAsia="宋体"/>
      <w:kern w:val="2"/>
      <w:sz w:val="24"/>
    </w:rPr>
  </w:style>
  <w:style w:type="character" w:customStyle="1" w:styleId="45">
    <w:name w:val="批注主题 Char"/>
    <w:basedOn w:val="35"/>
    <w:link w:val="23"/>
    <w:semiHidden/>
    <w:qFormat/>
    <w:locked/>
    <w:uiPriority w:val="0"/>
    <w:rPr>
      <w:b/>
      <w:bCs/>
      <w:kern w:val="2"/>
      <w:sz w:val="21"/>
      <w:szCs w:val="24"/>
    </w:rPr>
  </w:style>
  <w:style w:type="character" w:customStyle="1" w:styleId="46">
    <w:name w:val="批注框文本 Char"/>
    <w:basedOn w:val="26"/>
    <w:link w:val="16"/>
    <w:semiHidden/>
    <w:qFormat/>
    <w:locked/>
    <w:uiPriority w:val="0"/>
    <w:rPr>
      <w:kern w:val="2"/>
      <w:sz w:val="18"/>
      <w:szCs w:val="18"/>
    </w:rPr>
  </w:style>
  <w:style w:type="paragraph" w:styleId="47">
    <w:name w:val="List Paragraph"/>
    <w:basedOn w:val="1"/>
    <w:qFormat/>
    <w:uiPriority w:val="34"/>
    <w:pPr>
      <w:widowControl/>
      <w:ind w:firstLine="420"/>
    </w:pPr>
    <w:rPr>
      <w:rFonts w:ascii="Calibri" w:hAnsi="Calibri" w:cs="宋体"/>
      <w:kern w:val="0"/>
      <w:szCs w:val="21"/>
    </w:rPr>
  </w:style>
  <w:style w:type="paragraph" w:customStyle="1" w:styleId="48">
    <w:name w:val="TOC Heading"/>
    <w:basedOn w:val="2"/>
    <w:next w:val="1"/>
    <w:semiHidden/>
    <w:unhideWhenUsed/>
    <w:qFormat/>
    <w:uiPriority w:val="39"/>
    <w:pPr>
      <w:widowControl/>
      <w:numPr>
        <w:numId w:val="0"/>
      </w:numPr>
      <w:spacing w:before="480" w:after="0" w:line="276" w:lineRule="auto"/>
      <w:jc w:val="left"/>
      <w:outlineLvl w:val="9"/>
    </w:pPr>
    <w:rPr>
      <w:rFonts w:asciiTheme="majorHAnsi" w:hAnsiTheme="majorHAnsi" w:eastAsiaTheme="majorEastAsia" w:cstheme="majorBidi"/>
      <w:color w:val="376092" w:themeColor="accent1" w:themeShade="BF"/>
      <w:kern w:val="0"/>
      <w:sz w:val="28"/>
      <w:szCs w:val="28"/>
    </w:rPr>
  </w:style>
  <w:style w:type="paragraph" w:customStyle="1" w:styleId="49">
    <w:name w:val="公司名称"/>
    <w:basedOn w:val="1"/>
    <w:qFormat/>
    <w:uiPriority w:val="0"/>
    <w:pPr>
      <w:widowControl/>
      <w:overflowPunct w:val="0"/>
      <w:autoSpaceDE w:val="0"/>
      <w:autoSpaceDN w:val="0"/>
      <w:adjustRightInd w:val="0"/>
      <w:jc w:val="center"/>
    </w:pPr>
    <w:rPr>
      <w:rFonts w:eastAsia="隶书"/>
      <w:b/>
      <w:bCs/>
      <w:kern w:val="0"/>
      <w:sz w:val="44"/>
      <w:szCs w:val="20"/>
    </w:rPr>
  </w:style>
  <w:style w:type="paragraph" w:customStyle="1" w:styleId="50">
    <w:name w:val="文档中文标题"/>
    <w:basedOn w:val="1"/>
    <w:qFormat/>
    <w:uiPriority w:val="0"/>
    <w:pPr>
      <w:keepLines/>
      <w:widowControl/>
      <w:overflowPunct w:val="0"/>
      <w:autoSpaceDE w:val="0"/>
      <w:autoSpaceDN w:val="0"/>
      <w:adjustRightInd w:val="0"/>
      <w:spacing w:after="120"/>
      <w:ind w:left="2552" w:right="720"/>
      <w:jc w:val="left"/>
    </w:pPr>
    <w:rPr>
      <w:rFonts w:ascii="宋体"/>
      <w:b/>
      <w:bCs/>
      <w:smallCaps/>
      <w:kern w:val="0"/>
      <w:sz w:val="44"/>
      <w:szCs w:val="18"/>
      <w:lang w:val="zh-CN"/>
    </w:rPr>
  </w:style>
  <w:style w:type="paragraph" w:customStyle="1" w:styleId="51">
    <w:name w:val="xl34"/>
    <w:basedOn w:val="1"/>
    <w:qFormat/>
    <w:uiPriority w:val="0"/>
    <w:pPr>
      <w:widowControl/>
      <w:pBdr>
        <w:left w:val="single" w:color="auto" w:sz="4" w:space="0"/>
      </w:pBdr>
      <w:spacing w:before="100" w:beforeAutospacing="1" w:after="100" w:afterAutospacing="1"/>
      <w:jc w:val="center"/>
    </w:pPr>
    <w:rPr>
      <w:rFonts w:ascii="楷体_GB2312" w:hAnsi="宋体" w:eastAsia="楷体_GB2312"/>
      <w:kern w:val="0"/>
      <w:sz w:val="24"/>
    </w:rPr>
  </w:style>
  <w:style w:type="paragraph" w:customStyle="1" w:styleId="52">
    <w:name w:val="xl30"/>
    <w:basedOn w:val="1"/>
    <w:qFormat/>
    <w:uiPriority w:val="0"/>
    <w:pPr>
      <w:widowControl/>
      <w:spacing w:before="100" w:beforeAutospacing="1" w:after="100" w:afterAutospacing="1"/>
      <w:jc w:val="center"/>
    </w:pPr>
    <w:rPr>
      <w:rFonts w:ascii="楷体_GB2312" w:hAnsi="宋体" w:eastAsia="楷体_GB2312"/>
      <w:kern w:val="0"/>
      <w:sz w:val="72"/>
      <w:szCs w:val="72"/>
    </w:rPr>
  </w:style>
  <w:style w:type="paragraph" w:customStyle="1" w:styleId="53">
    <w:name w:val="正文1"/>
    <w:basedOn w:val="1"/>
    <w:qFormat/>
    <w:uiPriority w:val="0"/>
    <w:pPr>
      <w:snapToGrid w:val="0"/>
      <w:spacing w:before="120" w:after="120"/>
      <w:ind w:firstLine="420"/>
    </w:pPr>
    <w:rPr>
      <w:rFonts w:cs="Lucida Sans"/>
      <w:szCs w:val="21"/>
    </w:rPr>
  </w:style>
  <w:style w:type="paragraph" w:customStyle="1" w:styleId="54">
    <w:name w:val="样式 正文缩进 + 首行缩进:  2.56 字符 段前: 0.6 行 段后: 0.6 行"/>
    <w:basedOn w:val="7"/>
    <w:qFormat/>
    <w:uiPriority w:val="0"/>
    <w:pPr>
      <w:spacing w:afterLines="60"/>
      <w:ind w:firstLine="538"/>
    </w:pPr>
    <w:rPr>
      <w:rFonts w:cs="宋体"/>
    </w:rPr>
  </w:style>
  <w:style w:type="paragraph" w:customStyle="1" w:styleId="55">
    <w:name w:val="Char Char Char Char Char Char Char Char Char Char Char Char Char Char Char Char"/>
    <w:basedOn w:val="1"/>
    <w:qFormat/>
    <w:uiPriority w:val="0"/>
    <w:pPr>
      <w:tabs>
        <w:tab w:val="left" w:pos="360"/>
      </w:tabs>
      <w:spacing w:line="360" w:lineRule="auto"/>
      <w:ind w:firstLine="480" w:firstLineChars="200"/>
    </w:pPr>
    <w:rPr>
      <w:rFonts w:ascii="宋体" w:hAnsi="宋体"/>
      <w:kern w:val="0"/>
      <w:sz w:val="24"/>
    </w:rPr>
  </w:style>
  <w:style w:type="character" w:customStyle="1" w:styleId="56">
    <w:name w:val="模板内容"/>
    <w:qFormat/>
    <w:uiPriority w:val="0"/>
    <w:rPr>
      <w:color w:val="0000FF"/>
    </w:rPr>
  </w:style>
  <w:style w:type="table" w:customStyle="1" w:styleId="57">
    <w:name w:val="自定义01"/>
    <w:basedOn w:val="24"/>
    <w:qFormat/>
    <w:uiPriority w:val="99"/>
    <w:pPr>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vAlign w:val="center"/>
    </w:tcPr>
    <w:tblStylePr w:type="band1Horz">
      <w:tcPr>
        <w:shd w:val="clear" w:color="auto" w:fill="EEECE1" w:themeFill="background2"/>
      </w:tcPr>
    </w:tblStylePr>
  </w:style>
  <w:style w:type="character" w:customStyle="1" w:styleId="58">
    <w:name w:val="font01"/>
    <w:basedOn w:val="26"/>
    <w:qFormat/>
    <w:uiPriority w:val="0"/>
    <w:rPr>
      <w:rFonts w:hint="eastAsia" w:ascii="宋体" w:hAnsi="宋体" w:eastAsia="宋体" w:cs="宋体"/>
      <w:color w:val="000000"/>
      <w:sz w:val="22"/>
      <w:szCs w:val="22"/>
      <w:u w:val="none"/>
    </w:rPr>
  </w:style>
  <w:style w:type="character" w:customStyle="1" w:styleId="59">
    <w:name w:val="font41"/>
    <w:basedOn w:val="26"/>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image" Target="media/image4.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黑体"/>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宋体"/>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3433</Words>
  <Characters>3727</Characters>
  <Lines>52</Lines>
  <Paragraphs>14</Paragraphs>
  <TotalTime>0</TotalTime>
  <ScaleCrop>false</ScaleCrop>
  <LinksUpToDate>false</LinksUpToDate>
  <CharactersWithSpaces>3816</CharactersWithSpaces>
  <Application>WPS Office_12.8.2.19309_F1E327BC-269C-435d-A152-05C5408002CA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2018-06-20T06:04:00Z</dcterms:created>
  <dc:creator>8000115456</dc:creator>
  <cp:lastModifiedBy>8000564757</cp:lastModifiedBy>
  <dcterms:modified xsi:type="dcterms:W3CDTF">2025-07-23T04:04:01Z</dcterms:modified>
  <dc:title>需求说明书</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文档状态">
    <vt:lpwstr>修订最新版本时间</vt:lpwstr>
  </property>
  <property fmtid="{D5CDD505-2E9C-101B-9397-08002B2CF9AE}" pid="3" name="发布日期">
    <vt:lpwstr/>
  </property>
  <property fmtid="{D5CDD505-2E9C-101B-9397-08002B2CF9AE}" pid="4" name="目录说明">
    <vt:lpwstr/>
  </property>
  <property fmtid="{D5CDD505-2E9C-101B-9397-08002B2CF9AE}" pid="5" name="KSOProductBuildVer">
    <vt:lpwstr>2052-12.8.2.19309</vt:lpwstr>
  </property>
  <property fmtid="{D5CDD505-2E9C-101B-9397-08002B2CF9AE}" pid="6" name="ICV">
    <vt:lpwstr>10B820F31A534DBA8042C2C54E8F50E7_13</vt:lpwstr>
  </property>
  <property fmtid="{D5CDD505-2E9C-101B-9397-08002B2CF9AE}" pid="7" name="KSOTemplateDocerSaveRecord">
    <vt:lpwstr>eyJoZGlkIjoiMmFlYWVlODA0NTc4YjM0ZDVkYWI4NzVlY2NkYzUyZjkiLCJ1c2VySWQiOiIzMjE4NjI2MzQifQ==</vt:lpwstr>
  </property>
</Properties>
</file>